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58835" w14:textId="77777777" w:rsidR="00FE58F3" w:rsidRDefault="00FE58F3" w:rsidP="00FE58F3">
      <w:pPr>
        <w:spacing w:after="0" w:line="240" w:lineRule="auto"/>
        <w:jc w:val="center"/>
        <w:rPr>
          <w:rFonts w:ascii="Times New Roman" w:eastAsia="Times New Roman" w:hAnsi="Times New Roman" w:cs="Times New Roman"/>
          <w:b/>
          <w:kern w:val="0"/>
          <w:lang w:eastAsia="tr-TR"/>
          <w14:ligatures w14:val="none"/>
        </w:rPr>
      </w:pPr>
      <w:bookmarkStart w:id="0" w:name="_Hlk242728504"/>
      <w:r>
        <w:rPr>
          <w:rFonts w:ascii="Times New Roman" w:eastAsia="Times New Roman" w:hAnsi="Times New Roman" w:cs="Times New Roman"/>
          <w:b/>
          <w:kern w:val="0"/>
          <w:lang w:eastAsia="tr-TR"/>
          <w14:ligatures w14:val="none"/>
        </w:rPr>
        <w:t>…</w:t>
      </w:r>
      <w:r w:rsidRPr="005E558A">
        <w:rPr>
          <w:rFonts w:ascii="Times New Roman" w:eastAsia="Times New Roman" w:hAnsi="Times New Roman" w:cs="Times New Roman"/>
          <w:b/>
          <w:kern w:val="0"/>
          <w:lang w:eastAsia="tr-TR"/>
          <w14:ligatures w14:val="none"/>
        </w:rPr>
        <w:t xml:space="preserve"> EĞİTİM ÖĞRETİM YILI</w:t>
      </w:r>
      <w:r>
        <w:rPr>
          <w:rFonts w:ascii="Times New Roman" w:eastAsia="Times New Roman" w:hAnsi="Times New Roman" w:cs="Times New Roman"/>
          <w:b/>
          <w:kern w:val="0"/>
          <w:lang w:eastAsia="tr-TR"/>
          <w14:ligatures w14:val="none"/>
        </w:rPr>
        <w:t xml:space="preserve"> </w:t>
      </w:r>
    </w:p>
    <w:p w14:paraId="2AE718B8" w14:textId="77777777" w:rsidR="00FE58F3" w:rsidRDefault="00FE58F3" w:rsidP="00FE58F3">
      <w:pPr>
        <w:spacing w:after="0" w:line="240" w:lineRule="auto"/>
        <w:jc w:val="center"/>
        <w:rPr>
          <w:rFonts w:ascii="Times New Roman" w:eastAsia="Times New Roman" w:hAnsi="Times New Roman" w:cs="Times New Roman"/>
          <w:b/>
          <w:kern w:val="0"/>
          <w:lang w:eastAsia="tr-TR"/>
          <w14:ligatures w14:val="none"/>
        </w:rPr>
      </w:pPr>
      <w:r>
        <w:rPr>
          <w:rFonts w:ascii="Times New Roman" w:eastAsia="Times New Roman" w:hAnsi="Times New Roman" w:cs="Times New Roman"/>
          <w:b/>
          <w:kern w:val="0"/>
          <w:lang w:eastAsia="tr-TR"/>
          <w14:ligatures w14:val="none"/>
        </w:rPr>
        <w:t xml:space="preserve">… LİSESİ … </w:t>
      </w:r>
      <w:r w:rsidRPr="005E558A">
        <w:rPr>
          <w:rFonts w:ascii="Times New Roman" w:eastAsia="Times New Roman" w:hAnsi="Times New Roman" w:cs="Times New Roman"/>
          <w:b/>
          <w:kern w:val="0"/>
          <w:lang w:eastAsia="tr-TR"/>
          <w14:ligatures w14:val="none"/>
        </w:rPr>
        <w:t xml:space="preserve"> SINIFI </w:t>
      </w:r>
    </w:p>
    <w:p w14:paraId="7EAC1EE9" w14:textId="77777777" w:rsidR="00FE58F3" w:rsidRPr="005E558A" w:rsidRDefault="00FE58F3" w:rsidP="00FE58F3">
      <w:pPr>
        <w:spacing w:after="0" w:line="240" w:lineRule="auto"/>
        <w:jc w:val="center"/>
        <w:rPr>
          <w:rFonts w:ascii="Times New Roman" w:eastAsia="Times New Roman" w:hAnsi="Times New Roman" w:cs="Times New Roman"/>
          <w:b/>
          <w:kern w:val="0"/>
          <w:lang w:eastAsia="tr-TR"/>
          <w14:ligatures w14:val="none"/>
        </w:rPr>
      </w:pPr>
      <w:r w:rsidRPr="005E558A">
        <w:rPr>
          <w:rFonts w:ascii="Times New Roman" w:eastAsia="Times New Roman" w:hAnsi="Times New Roman" w:cs="Times New Roman"/>
          <w:b/>
          <w:kern w:val="0"/>
          <w:lang w:eastAsia="tr-TR"/>
          <w14:ligatures w14:val="none"/>
        </w:rPr>
        <w:t xml:space="preserve">ŞUBE ÖĞRETMENLER KURULU </w:t>
      </w:r>
      <w:r>
        <w:rPr>
          <w:rFonts w:ascii="Times New Roman" w:eastAsia="Times New Roman" w:hAnsi="Times New Roman" w:cs="Times New Roman"/>
          <w:b/>
          <w:kern w:val="0"/>
          <w:lang w:eastAsia="tr-TR"/>
          <w14:ligatures w14:val="none"/>
        </w:rPr>
        <w:t>2</w:t>
      </w:r>
      <w:r w:rsidRPr="005E558A">
        <w:rPr>
          <w:rFonts w:ascii="Times New Roman" w:eastAsia="Times New Roman" w:hAnsi="Times New Roman" w:cs="Times New Roman"/>
          <w:b/>
          <w:kern w:val="0"/>
          <w:lang w:eastAsia="tr-TR"/>
          <w14:ligatures w14:val="none"/>
        </w:rPr>
        <w:t xml:space="preserve">. DÖNEM TOPLANTI </w:t>
      </w:r>
      <w:r>
        <w:rPr>
          <w:rFonts w:ascii="Times New Roman" w:eastAsia="Times New Roman" w:hAnsi="Times New Roman" w:cs="Times New Roman"/>
          <w:b/>
          <w:kern w:val="0"/>
          <w:lang w:eastAsia="tr-TR"/>
          <w14:ligatures w14:val="none"/>
        </w:rPr>
        <w:t>T</w:t>
      </w:r>
      <w:r w:rsidRPr="005E558A">
        <w:rPr>
          <w:rFonts w:ascii="Times New Roman" w:eastAsia="Times New Roman" w:hAnsi="Times New Roman" w:cs="Times New Roman"/>
          <w:b/>
          <w:kern w:val="0"/>
          <w:lang w:eastAsia="tr-TR"/>
          <w14:ligatures w14:val="none"/>
        </w:rPr>
        <w:t>UTANAĞI</w:t>
      </w:r>
    </w:p>
    <w:p w14:paraId="2C2AC935" w14:textId="77777777" w:rsidR="00FE58F3" w:rsidRPr="005E558A" w:rsidRDefault="00FE58F3" w:rsidP="00FE58F3">
      <w:pPr>
        <w:spacing w:after="0" w:line="240" w:lineRule="auto"/>
        <w:jc w:val="center"/>
        <w:rPr>
          <w:rFonts w:ascii="Times New Roman" w:eastAsia="Times New Roman" w:hAnsi="Times New Roman" w:cs="Times New Roman"/>
          <w:b/>
          <w:kern w:val="0"/>
          <w:lang w:eastAsia="tr-TR"/>
          <w14:ligatures w14:val="none"/>
        </w:rPr>
      </w:pPr>
    </w:p>
    <w:p w14:paraId="0075B3C6" w14:textId="77777777" w:rsidR="00FE58F3" w:rsidRPr="005E558A" w:rsidRDefault="00FE58F3" w:rsidP="00FE58F3">
      <w:pPr>
        <w:spacing w:after="0" w:line="480" w:lineRule="atLeast"/>
        <w:jc w:val="both"/>
        <w:rPr>
          <w:rFonts w:ascii="Times New Roman" w:eastAsia="Times New Roman" w:hAnsi="Times New Roman" w:cs="Times New Roman"/>
          <w:kern w:val="0"/>
          <w:lang w:eastAsia="tr-TR"/>
          <w14:ligatures w14:val="none"/>
        </w:rPr>
      </w:pPr>
      <w:r w:rsidRPr="00E318C1">
        <w:rPr>
          <w:rFonts w:ascii="Times New Roman" w:eastAsia="Times New Roman" w:hAnsi="Times New Roman" w:cs="Times New Roman"/>
          <w:b/>
          <w:bCs/>
          <w:kern w:val="0"/>
          <w:lang w:eastAsia="tr-TR"/>
          <w14:ligatures w14:val="none"/>
        </w:rPr>
        <w:t>TOPLANTI NO</w:t>
      </w:r>
      <w:r>
        <w:rPr>
          <w:rFonts w:ascii="Times New Roman" w:eastAsia="Times New Roman" w:hAnsi="Times New Roman" w:cs="Times New Roman"/>
          <w:b/>
          <w:bCs/>
          <w:kern w:val="0"/>
          <w:lang w:eastAsia="tr-TR"/>
          <w14:ligatures w14:val="none"/>
        </w:rPr>
        <w:tab/>
      </w:r>
      <w:r>
        <w:rPr>
          <w:rFonts w:ascii="Times New Roman" w:eastAsia="Times New Roman" w:hAnsi="Times New Roman" w:cs="Times New Roman"/>
          <w:b/>
          <w:bCs/>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kern w:val="0"/>
          <w:lang w:eastAsia="tr-TR"/>
          <w14:ligatures w14:val="none"/>
        </w:rPr>
        <w:t>1</w:t>
      </w:r>
    </w:p>
    <w:p w14:paraId="3E7E6B47" w14:textId="77777777" w:rsidR="00FE58F3" w:rsidRPr="00E318C1" w:rsidRDefault="00FE58F3" w:rsidP="00FE58F3">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bCs/>
          <w:kern w:val="0"/>
          <w:lang w:eastAsia="tr-TR"/>
          <w14:ligatures w14:val="none"/>
        </w:rPr>
        <w:t>TOPLANTI TARİHİ</w:t>
      </w:r>
      <w:r>
        <w:rPr>
          <w:rFonts w:ascii="Times New Roman" w:eastAsia="Times New Roman" w:hAnsi="Times New Roman" w:cs="Times New Roman"/>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12E64D0D" w14:textId="77777777" w:rsidR="00FE58F3" w:rsidRPr="00E318C1" w:rsidRDefault="00FE58F3" w:rsidP="00FE58F3">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YERİ</w:t>
      </w:r>
      <w:r>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t>:</w:t>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2826AAE4" w14:textId="77777777" w:rsidR="00FE58F3" w:rsidRPr="00E318C1" w:rsidRDefault="00FE58F3" w:rsidP="00FE58F3">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SAATİ</w:t>
      </w:r>
      <w:r w:rsidRPr="00E318C1">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bookmarkEnd w:id="0"/>
    <w:p w14:paraId="50EEB438" w14:textId="77777777" w:rsidR="005E558A" w:rsidRPr="001A68D5"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p>
    <w:p w14:paraId="70849884" w14:textId="77777777" w:rsidR="005E558A" w:rsidRPr="001A68D5"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r w:rsidRPr="001A68D5">
        <w:rPr>
          <w:rFonts w:ascii="Times New Roman" w:eastAsia="Times New Roman" w:hAnsi="Times New Roman" w:cs="Times New Roman"/>
          <w:b/>
          <w:kern w:val="0"/>
          <w:u w:val="single"/>
          <w:lang w:eastAsia="tr-TR"/>
          <w14:ligatures w14:val="none"/>
        </w:rPr>
        <w:t>GÜNDEM MADDELERİ</w:t>
      </w:r>
    </w:p>
    <w:p w14:paraId="744A3AF4" w14:textId="0FF07509" w:rsidR="005E558A" w:rsidRPr="001A68D5" w:rsidRDefault="009F53FB">
      <w:pPr>
        <w:rPr>
          <w:rFonts w:ascii="Times New Roman" w:hAnsi="Times New Roman" w:cs="Times New Roman"/>
        </w:rPr>
      </w:pPr>
      <w:r w:rsidRPr="001A68D5">
        <w:rPr>
          <w:rFonts w:ascii="Times New Roman" w:hAnsi="Times New Roman" w:cs="Times New Roman"/>
        </w:rPr>
        <w:t>1. Açılış ve yoklama.</w:t>
      </w:r>
      <w:r w:rsidRPr="001A68D5">
        <w:rPr>
          <w:rFonts w:ascii="Times New Roman" w:hAnsi="Times New Roman" w:cs="Times New Roman"/>
        </w:rPr>
        <w:br/>
        <w:t>2. Bir önceki toplantıda alınan kararlar.</w:t>
      </w:r>
      <w:r w:rsidRPr="001A68D5">
        <w:rPr>
          <w:rFonts w:ascii="Times New Roman" w:hAnsi="Times New Roman" w:cs="Times New Roman"/>
        </w:rPr>
        <w:br/>
        <w:t>3. Öğrencilerin başarı durumlarının incelenmesi ve başarıyı artırıcı önlemlerin alınması.</w:t>
      </w:r>
      <w:r w:rsidRPr="001A68D5">
        <w:rPr>
          <w:rFonts w:ascii="Times New Roman" w:hAnsi="Times New Roman" w:cs="Times New Roman"/>
        </w:rPr>
        <w:br/>
        <w:t>4. Derslerin öğretim programlarıyla uyumlu olarak yürütülmesi.</w:t>
      </w:r>
      <w:r w:rsidRPr="001A68D5">
        <w:rPr>
          <w:rFonts w:ascii="Times New Roman" w:hAnsi="Times New Roman" w:cs="Times New Roman"/>
        </w:rPr>
        <w:br/>
        <w:t>5. Özel eğitim ihtiyacı olan/kaynaştırma/bütünleştirme yoluyla eğitimlerine devam eden öğrencilerin başarısının artırılması ve eğitim hizmetlerinden daha etkin yararlanmalarının sağlanması amacıyla alınacak tedbirler, yapılması gereken iş, işlem ve planlamalar.</w:t>
      </w:r>
      <w:r w:rsidRPr="001A68D5">
        <w:rPr>
          <w:rFonts w:ascii="Times New Roman" w:hAnsi="Times New Roman" w:cs="Times New Roman"/>
        </w:rPr>
        <w:br/>
        <w:t>6. Eğitim kaynaklarıyla atölye, laboratuvar ve diğer birimlerden güvenli bir şekilde yararlanma ve planlanma.</w:t>
      </w:r>
      <w:r w:rsidRPr="001A68D5">
        <w:rPr>
          <w:rFonts w:ascii="Times New Roman" w:hAnsi="Times New Roman" w:cs="Times New Roman"/>
        </w:rPr>
        <w:br/>
        <w:t>7. Okul çevre işbirliği.</w:t>
      </w:r>
      <w:r w:rsidRPr="001A68D5">
        <w:rPr>
          <w:rFonts w:ascii="Times New Roman" w:hAnsi="Times New Roman" w:cs="Times New Roman"/>
        </w:rPr>
        <w:br/>
        <w:t>8. Üretim etkinliklerinin eğitim ve öğretimi destekleyecek şekilde planlanması.</w:t>
      </w:r>
      <w:r w:rsidRPr="001A68D5">
        <w:rPr>
          <w:rFonts w:ascii="Times New Roman" w:hAnsi="Times New Roman" w:cs="Times New Roman"/>
        </w:rPr>
        <w:br/>
        <w:t>9. Eğitim kurumu, ilçe, il, yurtiçi ve yurtdışında düzenlenecek bilimsel, sosyal, kültürel, sanatsal ve sportif etkinlikler ve yarışmalar ile geziler, öğrenci kulüp ve topluma hizmet çalışmaları.</w:t>
      </w:r>
      <w:r w:rsidRPr="001A68D5">
        <w:rPr>
          <w:rFonts w:ascii="Times New Roman" w:hAnsi="Times New Roman" w:cs="Times New Roman"/>
        </w:rPr>
        <w:br/>
        <w:t>10. Mesleki ve teknik eğitim alanlarına devam edenlerin mesleğe, iş hayatına ve yükseköğrenime yönlendirilmesi.</w:t>
      </w:r>
      <w:r w:rsidRPr="001A68D5">
        <w:rPr>
          <w:rFonts w:ascii="Times New Roman" w:hAnsi="Times New Roman" w:cs="Times New Roman"/>
        </w:rPr>
        <w:br/>
        <w:t>11. Öğrencilerde girişimcilik bilincinin kazandırılmasına yönelik çalışmalar.</w:t>
      </w:r>
      <w:r w:rsidRPr="001A68D5">
        <w:rPr>
          <w:rFonts w:ascii="Times New Roman" w:hAnsi="Times New Roman" w:cs="Times New Roman"/>
        </w:rPr>
        <w:br/>
        <w:t>12. Öğrencilerin kişilik ve sosyal gelişimlerinin desteklenmesi, sağlıklarının korunması ve dengeli beslenmelerinin sağlanması.</w:t>
      </w:r>
      <w:r w:rsidRPr="001A68D5">
        <w:rPr>
          <w:rFonts w:ascii="Times New Roman" w:hAnsi="Times New Roman" w:cs="Times New Roman"/>
        </w:rPr>
        <w:br/>
        <w:t>13. Okul sağlığı çalışmalarına yer verilmesi.</w:t>
      </w:r>
      <w:r w:rsidRPr="001A68D5">
        <w:rPr>
          <w:rFonts w:ascii="Times New Roman" w:hAnsi="Times New Roman" w:cs="Times New Roman"/>
        </w:rPr>
        <w:br/>
        <w:t>14. Değerler eğitimi çalışmalarına yer verilmesi.</w:t>
      </w:r>
      <w:r w:rsidRPr="001A68D5">
        <w:rPr>
          <w:rFonts w:ascii="Times New Roman" w:hAnsi="Times New Roman" w:cs="Times New Roman"/>
        </w:rPr>
        <w:br/>
        <w:t>15. İş sağlığı ve güvenliği tedbirleri doğrultusunda eğitim ve öğretim faaliyetlerinin planlanması.</w:t>
      </w:r>
      <w:r w:rsidRPr="001A68D5">
        <w:rPr>
          <w:rFonts w:ascii="Times New Roman" w:hAnsi="Times New Roman" w:cs="Times New Roman"/>
        </w:rPr>
        <w:br/>
        <w:t>16. Eğitim ve öğretim yılı genelgesi kapsamındaki uygulamaların birinci dönem sonuçlarıyla değerlendirilmesi</w:t>
      </w:r>
      <w:r w:rsidRPr="001A68D5">
        <w:rPr>
          <w:rFonts w:ascii="Times New Roman" w:hAnsi="Times New Roman" w:cs="Times New Roman"/>
        </w:rPr>
        <w:br/>
        <w:t>17. Birinci dönemde tespit edilen öğrenme eksiklerinin telafisi ve destekleme çalışmalarının planlanması</w:t>
      </w:r>
      <w:r w:rsidRPr="001A68D5">
        <w:rPr>
          <w:rFonts w:ascii="Times New Roman" w:hAnsi="Times New Roman" w:cs="Times New Roman"/>
        </w:rPr>
        <w:br/>
        <w:t>18. Cep telefonu uygulamasının ve dijital esenlik çalışmalarının değerlendirilmesi</w:t>
      </w:r>
      <w:r w:rsidRPr="001A68D5">
        <w:rPr>
          <w:rFonts w:ascii="Times New Roman" w:hAnsi="Times New Roman" w:cs="Times New Roman"/>
        </w:rPr>
        <w:br/>
        <w:t>19. Özel eğitim ihtiyacı olan öğrenciler için BEP ve destek eğitim odası uygulamalarının gözden geçirilmesi</w:t>
      </w:r>
      <w:r w:rsidRPr="001A68D5">
        <w:rPr>
          <w:rFonts w:ascii="Times New Roman" w:hAnsi="Times New Roman" w:cs="Times New Roman"/>
        </w:rPr>
        <w:br/>
        <w:t>20. Dilek ve temenniler.</w:t>
      </w:r>
      <w:r w:rsidR="005E558A" w:rsidRPr="001A68D5">
        <w:rPr>
          <w:rFonts w:ascii="Times New Roman" w:hAnsi="Times New Roman" w:cs="Times New Roman"/>
        </w:rPr>
        <w:br w:type="page"/>
      </w:r>
    </w:p>
    <w:p w14:paraId="5EC4943B" w14:textId="77777777" w:rsidR="009F53FB" w:rsidRPr="001A68D5" w:rsidRDefault="005E558A" w:rsidP="009F53FB">
      <w:pPr>
        <w:spacing w:after="0" w:line="276" w:lineRule="auto"/>
        <w:rPr>
          <w:rFonts w:ascii="Times New Roman" w:eastAsia="Times New Roman" w:hAnsi="Times New Roman" w:cs="Times New Roman"/>
          <w:b/>
          <w:bCs/>
          <w:kern w:val="0"/>
          <w:lang w:eastAsia="tr-TR"/>
          <w14:ligatures w14:val="none"/>
        </w:rPr>
      </w:pPr>
      <w:r w:rsidRPr="001A68D5">
        <w:rPr>
          <w:rFonts w:ascii="Times New Roman" w:eastAsia="Times New Roman" w:hAnsi="Times New Roman" w:cs="Times New Roman"/>
          <w:b/>
          <w:bCs/>
          <w:kern w:val="0"/>
          <w:lang w:eastAsia="tr-TR"/>
          <w14:ligatures w14:val="none"/>
        </w:rPr>
        <w:lastRenderedPageBreak/>
        <w:t>GÜNDEM MADDELERİNİN GÖRÜŞÜLMESİ</w:t>
      </w:r>
    </w:p>
    <w:p w14:paraId="3677835C" w14:textId="77777777" w:rsidR="00A857FD" w:rsidRPr="001A68D5" w:rsidRDefault="009F53FB" w:rsidP="009F53FB">
      <w:pPr>
        <w:spacing w:after="0" w:line="276" w:lineRule="auto"/>
        <w:rPr>
          <w:rFonts w:ascii="Times New Roman" w:eastAsia="Times New Roman" w:hAnsi="Times New Roman" w:cs="Times New Roman"/>
          <w:b/>
          <w:bCs/>
          <w:kern w:val="0"/>
          <w:lang w:eastAsia="tr-TR"/>
          <w14:ligatures w14:val="none"/>
        </w:rPr>
      </w:pPr>
      <w:r w:rsidRPr="001A68D5">
        <w:rPr>
          <w:rFonts w:ascii="Times New Roman" w:hAnsi="Times New Roman" w:cs="Times New Roman"/>
          <w:b/>
          <w:bCs/>
          <w:color w:val="000000"/>
        </w:rPr>
        <w:t>1. Açılış ve yoklama.</w:t>
      </w:r>
      <w:r w:rsidRPr="001A68D5">
        <w:rPr>
          <w:rFonts w:ascii="Times New Roman" w:hAnsi="Times New Roman" w:cs="Times New Roman"/>
        </w:rPr>
        <w:br/>
        <w:t>Toplantı belirtilen tarih ve saatte öğretmenler odasında başlatılmıştır. Yoklama alınmış, toplantıya katılan öğretmenlerin hazır bulunduğu tespit edilmiştir. Toplantının amacı; .......... sınıf düzeyinde ikinci dönemde akademik hedeflerin netleştirilmesi, başarıyı artırıcı önlemlerin belirlenmesi ve öğrenci gelişiminin bütüncül değerlendirilmesi olarak ifade edilmiştir. Gündem maddeleri okunarak kabul edilmiştir. Görüşmelerin karar odaklı yürütülmesi ve alınan kararların uygulanabilir şekilde yazılması gerektiği vurgulanmıştır. Toplantı gündemine geçilmiştir.</w:t>
      </w:r>
      <w:r w:rsidRPr="001A68D5">
        <w:rPr>
          <w:rFonts w:ascii="Times New Roman" w:hAnsi="Times New Roman" w:cs="Times New Roman"/>
        </w:rPr>
        <w:br/>
      </w:r>
      <w:r w:rsidRPr="001A68D5">
        <w:rPr>
          <w:rFonts w:ascii="Times New Roman" w:hAnsi="Times New Roman" w:cs="Times New Roman"/>
          <w:b/>
        </w:rPr>
        <w:br/>
        <w:t>2. Bir önceki toplantıda alınan kararlar.</w:t>
      </w:r>
      <w:r w:rsidRPr="001A68D5">
        <w:rPr>
          <w:rFonts w:ascii="Times New Roman" w:hAnsi="Times New Roman" w:cs="Times New Roman"/>
        </w:rPr>
        <w:br/>
        <w:t>Bir önceki toplantıda alınan kararlar maddeler halinde okunmuş ve uygulama durumu değerlendirilmiştir. Devamsızlık takibi, ödev kontrolü ve ölçme sonrası geri bildirim gibi kararların sınıf genelinde olumlu etkilerinin görüldüğü belirtilmiştir. Bazı kararlarda ise süreklilik sağlanamadığı, özellikle dönem yoğunluğunda takibin zayıfladığı ifade edilmiştir. Bu nedenle kararların sorumlu ve zaman planı ile yürütülmesinin gerekli olduğu vurgulanmıştır. Eksik kalan uygulamaların ikinci dönemde güncellenerek devam ettirilmesi uygun görülmüştür. Sınıf rehber öğretmeni .........., kararların aylık kısa değerlendirme ile izlenmesinin faydalı olacağını belirtmiştir.</w:t>
      </w:r>
      <w:r w:rsidRPr="001A68D5">
        <w:rPr>
          <w:rFonts w:ascii="Times New Roman" w:hAnsi="Times New Roman" w:cs="Times New Roman"/>
        </w:rPr>
        <w:br/>
      </w:r>
      <w:r w:rsidRPr="001A68D5">
        <w:rPr>
          <w:rFonts w:ascii="Times New Roman" w:hAnsi="Times New Roman" w:cs="Times New Roman"/>
          <w:b/>
        </w:rPr>
        <w:br/>
        <w:t>3. Öğrencilerin başarı durumlarının incelenmesi ve başarıyı artırıcı önlemlerin alınması.</w:t>
      </w:r>
      <w:r w:rsidRPr="001A68D5">
        <w:rPr>
          <w:rFonts w:ascii="Times New Roman" w:hAnsi="Times New Roman" w:cs="Times New Roman"/>
        </w:rPr>
        <w:br/>
        <w:t>Öğrencilerin başarı durumları ders bazında ele alınmış; yazılı sonuçları, performans çalışmaları ve ders içi gözlemler birlikte değerlendirilmiştir. .......... sınıfta konu yoğunluğunun arttığı, düzenli tekrar ve planlı çalışmanın daha belirleyici olduğu ifade edilmiştir. Başarı düşüklüğü görülen öğrencilerde temel eksikler, düzensiz çalışma, sınav stratejisi ve zaman yönetimi sorunlarının öne çıktığı belirtilmiştir. Ölçme sonuçlarının sadece not olarak değil, kazanım eksiklerini gösteren bir geri bildirim aracı olarak ele alınması gerektiği vurgulanmıştır. Eksik kazanımlar için kısa telafi planı yapılması, hedefli soru setleriyle pekiştirme uygulanması uygun görülmüştür. Ders içinde aktif katılımı artıracak yöntemlere daha fazla yer verilmesine karar verilmiştir. .......... düzenli mini taramalar ve yanlış analizi ile ilerlemenin başarıyı yükselteceğini ifade etmiştir. .......... okuma-anlama becerisinin birçok derste başarıyı etkilediğini, düzenli okuma ve metin çözüm rutinlerinin sürdürülmesini önermiştir.</w:t>
      </w:r>
      <w:r w:rsidRPr="001A68D5">
        <w:rPr>
          <w:rFonts w:ascii="Times New Roman" w:hAnsi="Times New Roman" w:cs="Times New Roman"/>
        </w:rPr>
        <w:br/>
      </w:r>
      <w:r w:rsidRPr="001A68D5">
        <w:rPr>
          <w:rFonts w:ascii="Times New Roman" w:hAnsi="Times New Roman" w:cs="Times New Roman"/>
          <w:b/>
        </w:rPr>
        <w:br/>
        <w:t>4. Derslerin öğretim programlarıyla uyumlu olarak yürütülmesi.</w:t>
      </w:r>
      <w:r w:rsidRPr="001A68D5">
        <w:rPr>
          <w:rFonts w:ascii="Times New Roman" w:hAnsi="Times New Roman" w:cs="Times New Roman"/>
        </w:rPr>
        <w:br/>
        <w:t>Derslerin öğretim programındaki kazanımlara uygun yürütülmesi gerektiği vurgulanmıştır. Yıllık planların ve zümre kararlarının uygulanmasının ölçme-değerlendirmede ortaklık sağlayacağı ifade edilmiştir. Kazanım odaklı ilerlemenin kalıcı öğrenmeyi güçlendirdiği, konu yetiştirme kaygısıyla yüzeysel geçişlerin başarıyı düşürdüğü belirtilmiştir. Gerekli görülen durumlarda pekiştirme ve geri dönütlerle öğretim sürecinin desteklenmesi uygun görülmüştür. Ders materyallerinin beceri temelli öğrenmeyi desteklemesi gerektiği vurgulanmıştır. Ölçme araçlarının kazanımlarla doğrudan ilişkilendirilmesine karar verilmiştir. .......... problem çözümünde yöntem öğretiminin ve adım adım geri bildirimin önemli olduğunu belirtmiştir.</w:t>
      </w:r>
      <w:r w:rsidRPr="001A68D5">
        <w:rPr>
          <w:rFonts w:ascii="Times New Roman" w:hAnsi="Times New Roman" w:cs="Times New Roman"/>
        </w:rPr>
        <w:br/>
      </w:r>
      <w:r w:rsidRPr="001A68D5">
        <w:rPr>
          <w:rFonts w:ascii="Times New Roman" w:hAnsi="Times New Roman" w:cs="Times New Roman"/>
          <w:b/>
        </w:rPr>
        <w:br/>
      </w:r>
      <w:r w:rsidRPr="001A68D5">
        <w:rPr>
          <w:rFonts w:ascii="Times New Roman" w:hAnsi="Times New Roman" w:cs="Times New Roman"/>
          <w:b/>
        </w:rPr>
        <w:lastRenderedPageBreak/>
        <w:t>5. Özel eğitim ihtiyacı olan/kaynaştırma/bütünleştirme yoluyla eğitimlerine devam eden öğrencilerin başarısının artırılması ve eğitim hizmetlerinden daha etkin yararlanmalarının sağlanması amacıyla alınacak tedbirler, yapılması gereken iş, işlem ve planlamalar.</w:t>
      </w:r>
      <w:r w:rsidRPr="001A68D5">
        <w:rPr>
          <w:rFonts w:ascii="Times New Roman" w:hAnsi="Times New Roman" w:cs="Times New Roman"/>
        </w:rPr>
        <w:br/>
        <w:t>Özel eğitim ihtiyacı olan ve bütünleştirme yoluyla eğitimine devam eden öğrencilerin akademik sürece erişimi değerlendirilmiştir. Bu öğrenciler için ders içi uyarlamaların yapılmasının gerekli olduğu vurgulanmıştır. Yönergelerin sadeleştirilmesi, görsel destek kullanımı ve örnek sayısının artırılması gibi uygulamaların fayda sağlayacağı belirtilmiştir. Ölçme-değerlendirmede uygun düzenlemeler yapılması, gerektiğinde süre ve ortam uyarlaması uygulanması uygun görülmüştür. Öğrencinin motivasyonunu korumak için küçük hedefler, sık geri bildirim ve olumlu pekiştirme yaklaşımı benimsenmiştir. Rehberlik servisiyle koordinasyon sağlanarak öğrencinin sosyal uyumunun da izlenmesi gerektiği ifade edilmiştir. .......... kaygı, dikkat ve uyum alanlarında düzenli takip yapılmasının akademik süreci destekleyeceğini belirtmiştir. .......... kavram haritası ve şema desteğinin öğrenmeyi kolaylaştırdığını ifade etmiştir.</w:t>
      </w:r>
      <w:r w:rsidRPr="001A68D5">
        <w:rPr>
          <w:rFonts w:ascii="Times New Roman" w:hAnsi="Times New Roman" w:cs="Times New Roman"/>
        </w:rPr>
        <w:br/>
      </w:r>
      <w:r w:rsidRPr="001A68D5">
        <w:rPr>
          <w:rFonts w:ascii="Times New Roman" w:hAnsi="Times New Roman" w:cs="Times New Roman"/>
          <w:b/>
        </w:rPr>
        <w:br/>
        <w:t>6. Eğitim kaynaklarıyla atölye, laboratuvar ve diğer birimlerden güvenli bir şekilde yararlanma ve planlanma.</w:t>
      </w:r>
      <w:r w:rsidRPr="001A68D5">
        <w:rPr>
          <w:rFonts w:ascii="Times New Roman" w:hAnsi="Times New Roman" w:cs="Times New Roman"/>
        </w:rPr>
        <w:br/>
        <w:t>Okulun laboratuvar, bilişim sınıfı ve diğer birimlerinin güvenli kullanımı ele alınmıştır. Bu alanların planlı ve sorumlu öğretmen gözetiminde kullanılması gerektiği vurgulanmıştır. Laboratuvar uygulamalarında güvenlik kurallarının uygulama öncesi hatırlatılması uygun görülmüştür. Malzeme ve ekipmanların kayıt altına alınması, kullanım sonrası kontrol edilmesi ve eksiklerin bildirilmesi gerektiği belirtilmiştir. Koruyucu ekipman kullanımının ihmal edilmemesi gerektiği ifade edilmiştir. Acil durumda izlenecek yol ve iletişim zincirinin hatırlatılmasına karar verilmiştir. .......... deneylerde koruyucu ekipman zorunluluğunun önemini vurgulamıştır.</w:t>
      </w:r>
      <w:r w:rsidRPr="001A68D5">
        <w:rPr>
          <w:rFonts w:ascii="Times New Roman" w:hAnsi="Times New Roman" w:cs="Times New Roman"/>
        </w:rPr>
        <w:br/>
      </w:r>
      <w:r w:rsidRPr="001A68D5">
        <w:rPr>
          <w:rFonts w:ascii="Times New Roman" w:hAnsi="Times New Roman" w:cs="Times New Roman"/>
          <w:b/>
        </w:rPr>
        <w:br/>
        <w:t>7. Okul çevre işbirliği.</w:t>
      </w:r>
      <w:r w:rsidRPr="001A68D5">
        <w:rPr>
          <w:rFonts w:ascii="Times New Roman" w:hAnsi="Times New Roman" w:cs="Times New Roman"/>
        </w:rPr>
        <w:br/>
        <w:t>Okulun çevre kurumlarla iş birliği içinde yürütebileceği çalışmalar değerlendirilmiştir. Yerel yönetimler, kütüphaneler, üniversiteler ve ilgili kurumlarla yapılabilecek seminer ve ziyaretler ele alınmıştır. Bu iş birliklerinin öğrencilerin sosyal sorumluluk ve toplumsal farkındalık kazanmasına katkı sağlayacağı belirtilmiştir. Çevrede güvenlik açısından risk oluşturabilecek durumlar için bilgilendirme ve koordinasyonun sürdürülmesi gerektiği vurgulanmıştır. Eğitim amaçlı gezilerin kazanımlarla ilişkilendirilerek yapılmasının faydalı olacağı ifade edilmiştir. Okul-çevre iş birliğinin öğrencilerin motivasyonunu artıracağı görüşüne varılmıştır. .......... kültürel alan gezilerinin tarihsel bilinç gelişimini desteklediğini belirtmiştir.</w:t>
      </w:r>
      <w:r w:rsidRPr="001A68D5">
        <w:rPr>
          <w:rFonts w:ascii="Times New Roman" w:hAnsi="Times New Roman" w:cs="Times New Roman"/>
        </w:rPr>
        <w:br/>
      </w:r>
      <w:r w:rsidRPr="001A68D5">
        <w:rPr>
          <w:rFonts w:ascii="Times New Roman" w:hAnsi="Times New Roman" w:cs="Times New Roman"/>
          <w:b/>
        </w:rPr>
        <w:br/>
        <w:t>8. Üretim etkinliklerinin eğitim ve öğretimi destekleyecek şekilde planlanması.</w:t>
      </w:r>
      <w:r w:rsidRPr="001A68D5">
        <w:rPr>
          <w:rFonts w:ascii="Times New Roman" w:hAnsi="Times New Roman" w:cs="Times New Roman"/>
        </w:rPr>
        <w:br/>
        <w:t xml:space="preserve">Üretim etkinliklerinin öğrencilerin öğrenmesini kalıcı hale getirdiği ve sorumluluk becerilerini geliştirdiği ifade edilmiştir. Proje, sunum, afiş, poster, rapor ve ürün dosyası gibi çalışmaların ders kazanımlarıyla ilişkilendirilerek planlanabileceği belirtilmiştir. Sürecin not odaklı değil, gelişim odaklı yürütülmesinin daha verimli olacağı vurgulanmıştır. Öğrenci yükünü artırmadan düzenli ve küçük üretim görevlerinin daha etkili olacağı ifade edilmiştir. Ürünlerin sergilenmesi ve paylaşılmasının motivasyonu artıracağı belirtilmiştir. </w:t>
      </w:r>
      <w:r w:rsidRPr="001A68D5">
        <w:rPr>
          <w:rFonts w:ascii="Times New Roman" w:hAnsi="Times New Roman" w:cs="Times New Roman"/>
        </w:rPr>
        <w:lastRenderedPageBreak/>
        <w:t>Değerlendirme ölçütlerinin önceden netleştirilmesi ve adil uygulama yapılması gerektiği vurgulanmıştır. .......... raporlama ve sunum becerilerinin geliştirilmesinin akademik başarıya katkı sağlayacağını ifade etmiştir. .......... ürün temelli çalışmaların özgüven geliştirdiğini belirtmiştir.</w:t>
      </w:r>
      <w:r w:rsidRPr="001A68D5">
        <w:rPr>
          <w:rFonts w:ascii="Times New Roman" w:hAnsi="Times New Roman" w:cs="Times New Roman"/>
        </w:rPr>
        <w:br/>
      </w:r>
      <w:r w:rsidRPr="001A68D5">
        <w:rPr>
          <w:rFonts w:ascii="Times New Roman" w:hAnsi="Times New Roman" w:cs="Times New Roman"/>
          <w:b/>
        </w:rPr>
        <w:br/>
        <w:t>9. Eğitim kurumu, ilçe, il, yurtiçi ve yurtdışında düzenlenecek bilimsel, sosyal, kültürel, sanatsal ve sportif etkinlikler ve yarışmalar ile geziler, öğrenci kulüp ve topluma hizmet çalışmaları.</w:t>
      </w:r>
      <w:r w:rsidRPr="001A68D5">
        <w:rPr>
          <w:rFonts w:ascii="Times New Roman" w:hAnsi="Times New Roman" w:cs="Times New Roman"/>
        </w:rPr>
        <w:br/>
        <w:t>İkinci dönem yapılacak bilimsel, sosyal, kültürel, sanatsal ve sportif etkinlikler ele alınmıştır. İlçe ve il düzeyindeki yarışmalara katılımın öğrencilerin özgüvenini artırdığı belirtilmiştir. Kulüp çalışmalarının planlı yürütülmesi, görev dağılımının netleştirilmesi gerektiği vurgulanmıştır. Topluma hizmet çalışmalarının sorumluluk bilinci kazandırdığı ve okul aidiyetini güçlendirdiği ifade edilmiştir. Gezilerin kazanımlarla ilişkilendirilerek planlanması ve gezi öncesi-sonrası etkinliklerle pekiştirilmesi gerektiği belirtilmiştir. Etkinliklerde izin ve güvenlik prosedürlerinin eksiksiz uygulanması gerektiği vurgulanmıştır. Etkinliklerin akademik sorumlulukları aksatmayacak biçimde dengelenmesine karar verilmiştir. .......... sportif etkinliklerin disiplin ve stres yönetimi açısından faydalı olduğunu ifade etmiştir. .......... sunum ve münazara gibi etkinliklerin iletişim becerilerini güçlendirdiğini belirtmiştir.</w:t>
      </w:r>
      <w:r w:rsidRPr="001A68D5">
        <w:rPr>
          <w:rFonts w:ascii="Times New Roman" w:hAnsi="Times New Roman" w:cs="Times New Roman"/>
        </w:rPr>
        <w:br/>
      </w:r>
      <w:r w:rsidRPr="001A68D5">
        <w:rPr>
          <w:rFonts w:ascii="Times New Roman" w:hAnsi="Times New Roman" w:cs="Times New Roman"/>
          <w:b/>
        </w:rPr>
        <w:br/>
        <w:t>10. Mesleki ve teknik eğitim alanlarına devam edenlerin mesleğe, iş hayatına ve yükseköğrenime yönlendirilmesi.</w:t>
      </w:r>
      <w:r w:rsidRPr="001A68D5">
        <w:rPr>
          <w:rFonts w:ascii="Times New Roman" w:hAnsi="Times New Roman" w:cs="Times New Roman"/>
        </w:rPr>
        <w:br/>
        <w:t>Öğrencilerin ilgi ve yeteneklerine göre mesleğe, iş hayatına ve yükseköğrenime yönlendirilmesi görüşülmüştür. .......... sınıfta hedeflerin daha netleştiği, bu nedenle kariyer yönlendirmesinin daha sistemli yapılması gerektiği belirtilmiştir. Meslek ve alan tanıtım etkinliklerinin öğrencilerin seçenekleri gerçekçi değerlendirmesine katkı sağlayacağı ifade edilmiştir. Kariyer günleri, meslek tanıtım seminerleri ve kurum ziyaretleri planlanabileceği belirtilmiştir. İlgi-yetenek çalışmaları yapılarak sonuçların öğrenciyle bireysel görüşmelerde ele alınması uygun görülmüştür. Veli bilgilendirmesinin süreci güçlendireceği vurgulanmıştır. .......... yönlendirme çalışmalarının dönem içinde planlı olarak yürütüleceğini ifade etmiştir. .......... hedef belirlemenin düzenli çalışmayı artırdığını belirtmiştir.</w:t>
      </w:r>
      <w:r w:rsidRPr="001A68D5">
        <w:rPr>
          <w:rFonts w:ascii="Times New Roman" w:hAnsi="Times New Roman" w:cs="Times New Roman"/>
        </w:rPr>
        <w:br/>
      </w:r>
      <w:r w:rsidRPr="001A68D5">
        <w:rPr>
          <w:rFonts w:ascii="Times New Roman" w:hAnsi="Times New Roman" w:cs="Times New Roman"/>
          <w:b/>
        </w:rPr>
        <w:br/>
        <w:t>11. Öğrencilerde girişimcilik bilincinin kazandırılmasına yönelik çalışmalar.</w:t>
      </w:r>
      <w:r w:rsidRPr="001A68D5">
        <w:rPr>
          <w:rFonts w:ascii="Times New Roman" w:hAnsi="Times New Roman" w:cs="Times New Roman"/>
        </w:rPr>
        <w:br/>
        <w:t>Girişimcilik bilincinin öğrencilerin üretkenlik ve problem çözme becerilerini geliştirdiği belirtilmiştir. Proje geliştirme, fikir üretme atölyeleri ve sunum etkinlikleri yapılabileceği değerlendirilmiştir. Ekip çalışması içinde görev almanın sorumluluk, iletişim ve planlama becerilerini geliştirdiği ifade edilmiştir. Okul içi küçük proje sergileri veya ürün paylaşım günlerinin motive edici olacağı belirtilmiştir. Çalışmaların ders kazanımlarıyla ilişkilendirilmesinin öğrenmeyi destekleyeceği vurgulanmıştır. Değerlendirmede süreç odaklı yaklaşımın benimsenmesi gerektiği ifade edilmiştir. .......... sürdürülebilirlik temalı projelerin girişimcilik bakışı kazandırabileceğini belirtmiştir. .......... ikna edici konuşma ve yazma becerilerinin girişimcilikte önemli olduğunu ifade etmiştir.</w:t>
      </w:r>
      <w:r w:rsidRPr="001A68D5">
        <w:rPr>
          <w:rFonts w:ascii="Times New Roman" w:hAnsi="Times New Roman" w:cs="Times New Roman"/>
        </w:rPr>
        <w:br/>
      </w:r>
      <w:r w:rsidRPr="001A68D5">
        <w:rPr>
          <w:rFonts w:ascii="Times New Roman" w:hAnsi="Times New Roman" w:cs="Times New Roman"/>
          <w:b/>
        </w:rPr>
        <w:br/>
        <w:t>12. Öğrencilerin kişilik ve sosyal gelişimlerinin desteklenmesi, sağlıklarının korunması ve dengeli beslenmelerinin sağlanması.</w:t>
      </w:r>
      <w:r w:rsidRPr="001A68D5">
        <w:rPr>
          <w:rFonts w:ascii="Times New Roman" w:hAnsi="Times New Roman" w:cs="Times New Roman"/>
        </w:rPr>
        <w:br/>
      </w:r>
      <w:r w:rsidRPr="001A68D5">
        <w:rPr>
          <w:rFonts w:ascii="Times New Roman" w:hAnsi="Times New Roman" w:cs="Times New Roman"/>
        </w:rPr>
        <w:lastRenderedPageBreak/>
        <w:t>Öğrencilerin kişilik ve sosyal gelişimlerinin desteklenmesi gerektiği vurgulanmıştır. Akran ilişkileri, iletişim dili, empati ve sorumluluk bilincinin okul yaşamında pekiştirilmesine yönelik çalışmalar ele alınmıştır. Uyku düzeni, ekran süresi, hijyen ve fiziksel hareketin akademik başarıyla ilişkisi değerlendirilmiştir. Dengeli beslenmenin dikkat ve odaklanma üzerindeki etkisine vurgu yapılmıştır. Öğrencilerin stres yönetimi becerilerini güçlendirmek için rehberlik etkinliklerine yer verilmesi uygun görülmüştür. Okul kantini ve beslenme alışkanlıkları konusunda bilgilendirme yapılmasına karar verilmiştir. .......... özdenetim ve sorumluluk davranışlarının desteklenmesi gerektiğini ifade etmiştir. .......... düzenli hareketin ruhsal iyi oluşa katkı sağladığını belirtmiştir.</w:t>
      </w:r>
      <w:r w:rsidRPr="001A68D5">
        <w:rPr>
          <w:rFonts w:ascii="Times New Roman" w:hAnsi="Times New Roman" w:cs="Times New Roman"/>
        </w:rPr>
        <w:br/>
      </w:r>
      <w:r w:rsidRPr="001A68D5">
        <w:rPr>
          <w:rFonts w:ascii="Times New Roman" w:hAnsi="Times New Roman" w:cs="Times New Roman"/>
          <w:b/>
        </w:rPr>
        <w:br/>
        <w:t>13. Okul sağlığı çalışmalarına yer verilmesi.</w:t>
      </w:r>
      <w:r w:rsidRPr="001A68D5">
        <w:rPr>
          <w:rFonts w:ascii="Times New Roman" w:hAnsi="Times New Roman" w:cs="Times New Roman"/>
        </w:rPr>
        <w:br/>
        <w:t>Okul sağlığı kapsamında hijyen, bulaşıcı hastalıklardan korunma ve sağlıklı yaşam alışkanlıkları ele alınmıştır. Sınıf ve okul genelinde temizlik kurallarına uyulmasının önemine vurgu yapılmıştır. Sağlıkla ilgili risk durumlarında hızlı bilgilendirme yapılması ve gerekli yönlendirmelerin zamanında uygulanması gerektiği belirtilmiştir. Acil durumlarda izlenecek yol ve iletişim kanalları hatırlatılmıştır. Sağlıkla ilgili öğrenci bilgilerinin gizlilik içinde değerlendirilmesi gerektiği vurgulanmıştır. Okul sağlığına ilişkin bilgilendirme çalışmalarına dönem içinde yer verilmesine karar verilmiştir. .......... hijyen ve bağışıklık farkındalığının kısa bilgilendirmelerle desteklenmesini önermiştir. .......... temizlik malzemelerinin güvenli kullanımı konusunda uyarı yapılması gerektiğini belirtmiştir.</w:t>
      </w:r>
      <w:r w:rsidRPr="001A68D5">
        <w:rPr>
          <w:rFonts w:ascii="Times New Roman" w:hAnsi="Times New Roman" w:cs="Times New Roman"/>
        </w:rPr>
        <w:br/>
      </w:r>
      <w:r w:rsidRPr="001A68D5">
        <w:rPr>
          <w:rFonts w:ascii="Times New Roman" w:hAnsi="Times New Roman" w:cs="Times New Roman"/>
          <w:b/>
        </w:rPr>
        <w:br/>
        <w:t>14. Değerler eğitimi çalışmalarına yer verilmesi.</w:t>
      </w:r>
      <w:r w:rsidRPr="001A68D5">
        <w:rPr>
          <w:rFonts w:ascii="Times New Roman" w:hAnsi="Times New Roman" w:cs="Times New Roman"/>
        </w:rPr>
        <w:br/>
        <w:t>Değerler eğitiminin okul iklimini güçlendirdiği ve davranış gelişimine katkı sağladığı ifade edilmiştir. Saygı, sorumluluk, dürüstlük, hoşgörü ve yardımseverlik temalarının ikinci dönemde ortak dil ile desteklenmesi gerektiği belirtilmiştir. Değerlerin günlük uygulamalarda tutarlı biçimde yaşatılmasının önemine vurgu yapılmıştır. Sınıf kurallarının değerlerle ilişkilendirilerek öğrencilere neden-sonuç bağlamında açıklanmasının faydalı olacağı ifade edilmiştir. Örnek olay, pano çalışması, kısa metin ve etkinliklerle desteklenmesi uygun görülmüştür. Tüm öğretmenlerin benzer tutum sergilemesinin sınıf iklimine olumlu yansıyacağı belirtilmiştir. .......... tarihî örneklerin değer eğitimini somutlaştırdığını ifade etmiştir. .......... edebî metinlerin değer aktarımında etkili olduğunu belirtmiştir.</w:t>
      </w:r>
      <w:r w:rsidRPr="001A68D5">
        <w:rPr>
          <w:rFonts w:ascii="Times New Roman" w:hAnsi="Times New Roman" w:cs="Times New Roman"/>
        </w:rPr>
        <w:br/>
      </w:r>
      <w:r w:rsidRPr="001A68D5">
        <w:rPr>
          <w:rFonts w:ascii="Times New Roman" w:hAnsi="Times New Roman" w:cs="Times New Roman"/>
          <w:b/>
        </w:rPr>
        <w:br/>
        <w:t>15. İş sağlığı ve güvenliği tedbirleri doğrultusunda eğitim ve öğretim faaliyetlerinin planlanması.</w:t>
      </w:r>
      <w:r w:rsidRPr="001A68D5">
        <w:rPr>
          <w:rFonts w:ascii="Times New Roman" w:hAnsi="Times New Roman" w:cs="Times New Roman"/>
        </w:rPr>
        <w:br/>
        <w:t>İş sağlığı ve güvenliği tedbirlerinin eğitim-öğretim faaliyetlerinde eksiksiz uygulanması gerektiği vurgulanmıştır. Laboratuvar, spor alanları ve ortak kullanım alanlarında güvenlik kurallarının öğrencilere hatırlatılması gerektiği belirtilmiştir. Acil çıkışlar, deprem-tahliye planı ve yangın güvenliği uygulamalarının dönem içinde gözden geçirilmesi gerektiği ifade edilmiştir. Riskli davranışların önlenmesi için gözetim ve nöbet uygulamalarının dikkatle yürütülmesine karar verilmiştir. Gezi ve etkinliklerde izin ve güvenlik prosedürlerinin eksiksiz işletilmesi gerektiği vurgulanmıştır. Laboratuvar çalışmalarında kontrol listesi kullanılmasının faydalı olacağı ifade edilmiştir. .......... deneylerde koruyucu ekipmanın zorunlu tutulmasını önermiştir. .......... sakatlanma riskini azaltmak için ısınmanın ihmal edilmemesi gerektiğini belirtmiştir.</w:t>
      </w:r>
      <w:r w:rsidRPr="001A68D5">
        <w:rPr>
          <w:rFonts w:ascii="Times New Roman" w:hAnsi="Times New Roman" w:cs="Times New Roman"/>
          <w:color w:val="000000"/>
        </w:rPr>
        <w:br/>
      </w:r>
      <w:r w:rsidRPr="001A68D5">
        <w:rPr>
          <w:rFonts w:ascii="Times New Roman" w:hAnsi="Times New Roman" w:cs="Times New Roman"/>
          <w:color w:val="000000"/>
        </w:rPr>
        <w:lastRenderedPageBreak/>
        <w:t>16. Eğitim ve Öğretim Yılı Genelgesi Kapsamındaki Uygulamaların Değerlendirilmesi</w:t>
      </w:r>
      <w:r w:rsidRPr="001A68D5">
        <w:rPr>
          <w:rFonts w:ascii="Times New Roman" w:hAnsi="Times New Roman" w:cs="Times New Roman"/>
        </w:rPr>
        <w:br/>
        <w:t xml:space="preserve">Millî Eğitim Bakanlığının 2026/70 sayılı “2026-2027 Eğitim ve Öğretim Yılına İlişkin İş ve İşlemler” konulu </w:t>
      </w:r>
      <w:proofErr w:type="spellStart"/>
      <w:r w:rsidRPr="001A68D5">
        <w:rPr>
          <w:rFonts w:ascii="Times New Roman" w:hAnsi="Times New Roman" w:cs="Times New Roman"/>
        </w:rPr>
        <w:t>Genelge’sinde</w:t>
      </w:r>
      <w:proofErr w:type="spellEnd"/>
      <w:r w:rsidRPr="001A68D5">
        <w:rPr>
          <w:rFonts w:ascii="Times New Roman" w:hAnsi="Times New Roman" w:cs="Times New Roman"/>
        </w:rPr>
        <w:t xml:space="preserve"> yer alan hususların birinci dönemdeki uygulanma durumu değerlendirildi. Velilerden zorunlu ücret ve materyal talep edilmediği, Bakanlıkça hazırlananlar dışında deneme ve tarama sınavı uygulanmadığı belirtildi. .........., ikinci dönemde de aynı esasların korunacağını; tören, kutlama ve yıl sonu etkinliklerinin pedagojik ve etik ilkeler gözetilerek aileye ek mali yük getirmeyecek biçimde planlanacağını ifade etti. Yılın “Maarifin Kalbinde Oyun” teması kapsamında birinci dönemde yürütülen oyun ve hareket etkinliklerinin öğrencilerin akran ilişkilerini ve derse katılımını olumlu etkilediği, bu çalışmaların ikinci dönemde de sürdürüleceği belirtildi.</w:t>
      </w:r>
      <w:r w:rsidRPr="001A68D5">
        <w:rPr>
          <w:rFonts w:ascii="Times New Roman" w:hAnsi="Times New Roman" w:cs="Times New Roman"/>
        </w:rPr>
        <w:br/>
      </w:r>
      <w:r w:rsidRPr="001A68D5">
        <w:rPr>
          <w:rFonts w:ascii="Times New Roman" w:hAnsi="Times New Roman" w:cs="Times New Roman"/>
          <w:color w:val="000000"/>
        </w:rPr>
        <w:br/>
        <w:t>17. Öğrenme Eksiklerinin Telafisi ve Destekleme Çalışmaları</w:t>
      </w:r>
      <w:r w:rsidRPr="001A68D5">
        <w:rPr>
          <w:rFonts w:ascii="Times New Roman" w:hAnsi="Times New Roman" w:cs="Times New Roman"/>
        </w:rPr>
        <w:br/>
        <w:t>Birinci dönem sonuçları öğrenci ve ders bazında incelenerek tamamlanamayan öğrenme çıktıları belirlendi. Öğretmenler, eksiklerin büyük ölçüde ön öğrenme yetersizliğinden ve düzenli çalışma alışkanlığının kurulamamasından kaynaklandığını ifade ettiler. İkinci dönemde bu eksiklerin ders içinde planlı tekrar, kısa uygulama çalışmaları ve destekleme kursları yoluyla giderilmesi benimsendi. Bakanlıkça hazırlananlar dışında deneme ve tarama sınavı uygulanmayacağı için değerlendirmenin öğretmenlerce hazırlanan süreç odaklı ölçme araçlarıyla yapılacağı; sınav sonrası madde analizleriyle eksik kalan konuların belirleneceği kararlaştırıldı. Desteğe ihtiyaç duyan öğrencilerin velileriyle randevu sistemi üzerinden ayrıca görüşülmesi uygun görüldü.</w:t>
      </w:r>
      <w:r w:rsidRPr="001A68D5">
        <w:rPr>
          <w:rFonts w:ascii="Times New Roman" w:hAnsi="Times New Roman" w:cs="Times New Roman"/>
        </w:rPr>
        <w:br/>
      </w:r>
      <w:r w:rsidRPr="001A68D5">
        <w:rPr>
          <w:rFonts w:ascii="Times New Roman" w:hAnsi="Times New Roman" w:cs="Times New Roman"/>
          <w:color w:val="000000"/>
        </w:rPr>
        <w:br/>
        <w:t>18. Cep Telefonu Uygulaması ve Dijital Esenlik Çalışmalarının Değerlendirilmesi</w:t>
      </w:r>
      <w:r w:rsidRPr="001A68D5">
        <w:rPr>
          <w:rFonts w:ascii="Times New Roman" w:hAnsi="Times New Roman" w:cs="Times New Roman"/>
        </w:rPr>
        <w:br/>
        <w:t>Ders saatlerinde sınıfta cep telefonu bulundurulmaması uygulamasının birinci dönemdeki sonuçları değerlendirildi. Uygulamanın sınıf içindeki dikkati ve derse ayrılan süreyi olumlu etkilediği, öğretmenlerin de ders sırasında cep telefonu kullanmadığı belirtildi. Uygulamanın bütün derslerde aynı tutarlılıkla sürdürülmesi gerektiği vurgulandı. Duygu ve değer temelli dijital esenlik çalışmaları kapsamında ikinci dönemde ekran süresinin yönetimi, güvenli internet kullanımı, dijital mahremiyet ve siber zorbalıkla baş etme konularının rehberlik saatleriyle ilişkilendirilerek sürdürülmesi; derste kullanılacak dijital içeriklerin yenilenen EBA ve Bakanlıkça sağlanan güvenilir kaynaklardan seçilmesi benimsendi.</w:t>
      </w:r>
      <w:r w:rsidRPr="001A68D5">
        <w:rPr>
          <w:rFonts w:ascii="Times New Roman" w:hAnsi="Times New Roman" w:cs="Times New Roman"/>
        </w:rPr>
        <w:br/>
      </w:r>
      <w:r w:rsidRPr="001A68D5">
        <w:rPr>
          <w:rFonts w:ascii="Times New Roman" w:hAnsi="Times New Roman" w:cs="Times New Roman"/>
          <w:color w:val="000000"/>
        </w:rPr>
        <w:br/>
        <w:t>19. BEP ve Destek Eğitim Odası Uygulamalarının Gözden Geçirilmesi</w:t>
      </w:r>
      <w:r w:rsidRPr="001A68D5">
        <w:rPr>
          <w:rFonts w:ascii="Times New Roman" w:hAnsi="Times New Roman" w:cs="Times New Roman"/>
        </w:rPr>
        <w:br/>
        <w:t>Kaynaştırma/bütünleştirme yoluyla eğitimine devam eden öğrenciler için hazırlanan bireyselleştirilmiş eğitim programlarının birinci dönemdeki uygulama sonuçları görüşüldü. Öğretmenler, yönergelerin sadeleştirilmesi, görevin basamaklandırılması, görsel destek kullanımı ve ek süre gibi uyarlamaların öğrencilerin derse katılımını artırdığını belirttiler. Destek eğitim odası çalışmalarının ders programıyla uyumlu yürütülmesi, öğrencinin sınıftan kopmasına yol açmayacak biçimde planlanması gerektiği ifade edildi. İkinci dönemde BEP hedeflerinin gözden geçirilerek gerçekleşme durumuna göre güncellenmesi ve velilerle randevu sistemi üzerinden düzenli bilgi paylaşımı yapılması kararlaştırıldı.</w:t>
      </w:r>
      <w:r w:rsidRPr="001A68D5">
        <w:rPr>
          <w:rFonts w:ascii="Times New Roman" w:hAnsi="Times New Roman" w:cs="Times New Roman"/>
        </w:rPr>
        <w:br/>
      </w:r>
      <w:r w:rsidRPr="001A68D5">
        <w:rPr>
          <w:rFonts w:ascii="Times New Roman" w:hAnsi="Times New Roman" w:cs="Times New Roman"/>
          <w:b/>
        </w:rPr>
        <w:br/>
        <w:t>20. Dilek ve temenniler.</w:t>
      </w:r>
      <w:r w:rsidRPr="001A68D5">
        <w:rPr>
          <w:rFonts w:ascii="Times New Roman" w:hAnsi="Times New Roman" w:cs="Times New Roman"/>
          <w:color w:val="000000"/>
        </w:rPr>
        <w:br/>
        <w:t xml:space="preserve">Dilek ve temenniler bölümünde ikinci dönemin sağlıklı, huzurlu ve verimli geçmesi temenni </w:t>
      </w:r>
      <w:r w:rsidRPr="001A68D5">
        <w:rPr>
          <w:rFonts w:ascii="Times New Roman" w:hAnsi="Times New Roman" w:cs="Times New Roman"/>
          <w:color w:val="000000"/>
        </w:rPr>
        <w:lastRenderedPageBreak/>
        <w:t xml:space="preserve">edilmiştir. Öğrenci başarısını artırmak için öğretmenler arası iş birliğinin ve iletişimin güçlendirilmesi gerektiği vurgulanmıştır. Alınan kararların düzenli takip edilmesi, aksama durumlarında hızlı telafi yapılması gerektiği belirtilmiştir. Öğrencilerin motivasyonunun korunması ve rehberlik çalışmalarının sürekliliğinin önemli olduğu ifade edilmiştir. İhtiyaç duyulması halinde ara şube öğretmenler kurulu toplantısı yapılabileceği görüşü benimsenmiştir. Kurul başkanı .........., .......... eğitim öğretim yılının ikinci döneminin tüm öğretmen ve öğrencilere verimli geçmesi temennisiyle toplantıyı sona erdirmiştir. </w:t>
      </w:r>
    </w:p>
    <w:p w14:paraId="21F737CA" w14:textId="77777777" w:rsidR="005E558A" w:rsidRPr="001A68D5" w:rsidRDefault="005E558A">
      <w:pPr>
        <w:rPr>
          <w:rFonts w:ascii="Times New Roman" w:hAnsi="Times New Roman" w:cs="Times New Roman"/>
        </w:rPr>
      </w:pPr>
      <w:r w:rsidRPr="001A68D5">
        <w:rPr>
          <w:rFonts w:ascii="Times New Roman" w:hAnsi="Times New Roman" w:cs="Times New Roman"/>
        </w:rPr>
        <w:br w:type="page"/>
      </w:r>
    </w:p>
    <w:p w14:paraId="24241248" w14:textId="77777777" w:rsidR="005E558A" w:rsidRPr="001A68D5" w:rsidRDefault="005E558A" w:rsidP="00022C4C">
      <w:pPr>
        <w:spacing w:after="0" w:line="276" w:lineRule="auto"/>
        <w:rPr>
          <w:rFonts w:ascii="Times New Roman" w:eastAsia="Times New Roman" w:hAnsi="Times New Roman" w:cs="Times New Roman"/>
          <w:b/>
          <w:bCs/>
          <w:kern w:val="0"/>
          <w:lang w:eastAsia="tr-TR"/>
          <w14:ligatures w14:val="none"/>
        </w:rPr>
      </w:pPr>
      <w:r w:rsidRPr="001A68D5">
        <w:rPr>
          <w:rFonts w:ascii="Times New Roman" w:eastAsia="Times New Roman" w:hAnsi="Times New Roman" w:cs="Times New Roman"/>
          <w:b/>
          <w:bCs/>
          <w:kern w:val="0"/>
          <w:lang w:eastAsia="tr-TR"/>
          <w14:ligatures w14:val="none"/>
        </w:rPr>
        <w:lastRenderedPageBreak/>
        <w:t>ALINAN KARARLAR</w:t>
      </w:r>
    </w:p>
    <w:p w14:paraId="2AC01139" w14:textId="1DC147EC" w:rsidR="005E558A" w:rsidRPr="001A68D5" w:rsidRDefault="009F53FB" w:rsidP="00A26ECF">
      <w:pPr>
        <w:spacing w:after="0" w:line="276" w:lineRule="auto"/>
        <w:rPr>
          <w:rFonts w:ascii="Times New Roman" w:hAnsi="Times New Roman" w:cs="Times New Roman"/>
        </w:rPr>
      </w:pPr>
      <w:r w:rsidRPr="001A68D5">
        <w:rPr>
          <w:rFonts w:ascii="Times New Roman" w:eastAsia="Times New Roman" w:hAnsi="Times New Roman" w:cs="Times New Roman"/>
          <w:kern w:val="0"/>
          <w:lang w:eastAsia="tr-TR"/>
          <w14:ligatures w14:val="none"/>
        </w:rPr>
        <w:t>1. Bir önceki toplantı kararlarının uygulanma durumunun aylık olarak gözden geçirilmesine ve takibin sınıf rehber öğretmeni koordinasyonunda yürütülmesine karar verildi.</w:t>
      </w:r>
      <w:r w:rsidRPr="001A68D5">
        <w:rPr>
          <w:rFonts w:ascii="Times New Roman" w:eastAsia="Times New Roman" w:hAnsi="Times New Roman" w:cs="Times New Roman"/>
          <w:kern w:val="0"/>
          <w:lang w:eastAsia="tr-TR"/>
          <w14:ligatures w14:val="none"/>
        </w:rPr>
        <w:br/>
        <w:t>2. Ders bazında başarı analizlerinin yapılmasına, kazanım eksikleri için kısa telafi planı uygulanmasına karar verildi.</w:t>
      </w:r>
      <w:r w:rsidRPr="001A68D5">
        <w:rPr>
          <w:rFonts w:ascii="Times New Roman" w:eastAsia="Times New Roman" w:hAnsi="Times New Roman" w:cs="Times New Roman"/>
          <w:kern w:val="0"/>
          <w:lang w:eastAsia="tr-TR"/>
          <w14:ligatures w14:val="none"/>
        </w:rPr>
        <w:br/>
        <w:t>3. Haftalık çalışma planı hazırlanmasına; kısa tekrar, düzenli ödev takibi ve yanlış analizi uygulamalarının desteklenmesine karar verildi.</w:t>
      </w:r>
      <w:r w:rsidRPr="001A68D5">
        <w:rPr>
          <w:rFonts w:ascii="Times New Roman" w:eastAsia="Times New Roman" w:hAnsi="Times New Roman" w:cs="Times New Roman"/>
          <w:kern w:val="0"/>
          <w:lang w:eastAsia="tr-TR"/>
          <w14:ligatures w14:val="none"/>
        </w:rPr>
        <w:br/>
        <w:t>4. Derslerin öğretim programlarıyla uyumlu yürütülmesine; yıllık plan ve zümre kararlarına uygun ilerlenmesine karar verildi.</w:t>
      </w:r>
      <w:r w:rsidRPr="001A68D5">
        <w:rPr>
          <w:rFonts w:ascii="Times New Roman" w:eastAsia="Times New Roman" w:hAnsi="Times New Roman" w:cs="Times New Roman"/>
          <w:kern w:val="0"/>
          <w:lang w:eastAsia="tr-TR"/>
          <w14:ligatures w14:val="none"/>
        </w:rPr>
        <w:br/>
        <w:t>5. Bütünleştirme yoluyla eğitimine devam eden öğrenciler için ders içi uyarlamalar yapılmasına; ölçme sürecinde uygun düzenlemelerin uygulanmasına karar verildi.</w:t>
      </w:r>
      <w:r w:rsidRPr="001A68D5">
        <w:rPr>
          <w:rFonts w:ascii="Times New Roman" w:eastAsia="Times New Roman" w:hAnsi="Times New Roman" w:cs="Times New Roman"/>
          <w:kern w:val="0"/>
          <w:lang w:eastAsia="tr-TR"/>
          <w14:ligatures w14:val="none"/>
        </w:rPr>
        <w:br/>
        <w:t>6. Bu öğrenciler için rehberlik servisiyle koordinasyon kurulmasına, gelişimin düzenli izlenmesine ve gerektiğinde bireysel destek planı oluşturulmasına karar verildi.</w:t>
      </w:r>
      <w:r w:rsidRPr="001A68D5">
        <w:rPr>
          <w:rFonts w:ascii="Times New Roman" w:eastAsia="Times New Roman" w:hAnsi="Times New Roman" w:cs="Times New Roman"/>
          <w:kern w:val="0"/>
          <w:lang w:eastAsia="tr-TR"/>
          <w14:ligatures w14:val="none"/>
        </w:rPr>
        <w:br/>
        <w:t>7. Laboratuvar, bilişim sınıfı ve diğer birimlerin güvenli kullanımına; sorumlu öğretmen gözetimiyle planlı yararlanılmasına karar verildi.</w:t>
      </w:r>
      <w:r w:rsidRPr="001A68D5">
        <w:rPr>
          <w:rFonts w:ascii="Times New Roman" w:eastAsia="Times New Roman" w:hAnsi="Times New Roman" w:cs="Times New Roman"/>
          <w:kern w:val="0"/>
          <w:lang w:eastAsia="tr-TR"/>
          <w14:ligatures w14:val="none"/>
        </w:rPr>
        <w:br/>
        <w:t>8. Okul-çevre iş birliği kapsamında kurum/kuruluşlarla yapılabilecek etkinliklerin planlanmasına ve güvenlik boyutunun gözetilmesine karar verildi.</w:t>
      </w:r>
      <w:r w:rsidRPr="001A68D5">
        <w:rPr>
          <w:rFonts w:ascii="Times New Roman" w:eastAsia="Times New Roman" w:hAnsi="Times New Roman" w:cs="Times New Roman"/>
          <w:kern w:val="0"/>
          <w:lang w:eastAsia="tr-TR"/>
          <w14:ligatures w14:val="none"/>
        </w:rPr>
        <w:br/>
        <w:t>9. Üretim etkinliklerinin eğitim-öğretimi destekleyecek şekilde planlanmasına ve değerlendirme ölçütlerinin önceden belirlenmesine karar verildi.</w:t>
      </w:r>
      <w:r w:rsidRPr="001A68D5">
        <w:rPr>
          <w:rFonts w:ascii="Times New Roman" w:eastAsia="Times New Roman" w:hAnsi="Times New Roman" w:cs="Times New Roman"/>
          <w:kern w:val="0"/>
          <w:lang w:eastAsia="tr-TR"/>
          <w14:ligatures w14:val="none"/>
        </w:rPr>
        <w:br/>
        <w:t xml:space="preserve">10. Bilimsel, sosyal, kültürel, sanatsal ve sportif etkinlikler ile kulüp/topluma hizmet çalışmalarının </w:t>
      </w:r>
      <w:proofErr w:type="spellStart"/>
      <w:r w:rsidRPr="001A68D5">
        <w:rPr>
          <w:rFonts w:ascii="Times New Roman" w:eastAsia="Times New Roman" w:hAnsi="Times New Roman" w:cs="Times New Roman"/>
          <w:kern w:val="0"/>
          <w:lang w:eastAsia="tr-TR"/>
          <w14:ligatures w14:val="none"/>
        </w:rPr>
        <w:t>takvimlendirilmesine</w:t>
      </w:r>
      <w:proofErr w:type="spellEnd"/>
      <w:r w:rsidRPr="001A68D5">
        <w:rPr>
          <w:rFonts w:ascii="Times New Roman" w:eastAsia="Times New Roman" w:hAnsi="Times New Roman" w:cs="Times New Roman"/>
          <w:kern w:val="0"/>
          <w:lang w:eastAsia="tr-TR"/>
          <w14:ligatures w14:val="none"/>
        </w:rPr>
        <w:t xml:space="preserve"> karar verildi.</w:t>
      </w:r>
      <w:r w:rsidRPr="001A68D5">
        <w:rPr>
          <w:rFonts w:ascii="Times New Roman" w:eastAsia="Times New Roman" w:hAnsi="Times New Roman" w:cs="Times New Roman"/>
          <w:kern w:val="0"/>
          <w:lang w:eastAsia="tr-TR"/>
          <w14:ligatures w14:val="none"/>
        </w:rPr>
        <w:br/>
        <w:t>11. Kariyer yönlendirme kapsamında meslek/alan tanıtım çalışmaları yapılmasına; ilgi-yetenek çalışmalarının rehberlik servisiyle yürütülmesine karar verildi.</w:t>
      </w:r>
      <w:r w:rsidRPr="001A68D5">
        <w:rPr>
          <w:rFonts w:ascii="Times New Roman" w:eastAsia="Times New Roman" w:hAnsi="Times New Roman" w:cs="Times New Roman"/>
          <w:kern w:val="0"/>
          <w:lang w:eastAsia="tr-TR"/>
          <w14:ligatures w14:val="none"/>
        </w:rPr>
        <w:br/>
        <w:t>12. Girişimcilik bilincini geliştirmek amacıyla proje geliştirme, sunum ve ekip çalışması odaklı etkinliklerin desteklenmesine karar verildi.</w:t>
      </w:r>
      <w:r w:rsidRPr="001A68D5">
        <w:rPr>
          <w:rFonts w:ascii="Times New Roman" w:eastAsia="Times New Roman" w:hAnsi="Times New Roman" w:cs="Times New Roman"/>
          <w:kern w:val="0"/>
          <w:lang w:eastAsia="tr-TR"/>
          <w14:ligatures w14:val="none"/>
        </w:rPr>
        <w:br/>
        <w:t>13. Öğrencilerin kişilik ve sosyal gelişimlerinin desteklenmesine; sağlıklı yaşam, hijyen ve dengeli beslenme konularında bilgilendirme yapılmasına karar verildi.</w:t>
      </w:r>
      <w:r w:rsidRPr="001A68D5">
        <w:rPr>
          <w:rFonts w:ascii="Times New Roman" w:eastAsia="Times New Roman" w:hAnsi="Times New Roman" w:cs="Times New Roman"/>
          <w:kern w:val="0"/>
          <w:lang w:eastAsia="tr-TR"/>
          <w14:ligatures w14:val="none"/>
        </w:rPr>
        <w:br/>
        <w:t>14. Okul sağlığı çalışmalarına dönem içinde düzenli olarak yer verilmesine karar verildi.</w:t>
      </w:r>
      <w:r w:rsidRPr="001A68D5">
        <w:rPr>
          <w:rFonts w:ascii="Times New Roman" w:eastAsia="Times New Roman" w:hAnsi="Times New Roman" w:cs="Times New Roman"/>
          <w:kern w:val="0"/>
          <w:lang w:eastAsia="tr-TR"/>
          <w14:ligatures w14:val="none"/>
        </w:rPr>
        <w:br/>
        <w:t>15. Değerler eğitimi kapsamında saygı, sorumluluk, dürüstlük ve hoşgörü temalarının ortak dil ile pekiştirilmesine karar verildi.</w:t>
      </w:r>
      <w:r w:rsidRPr="001A68D5">
        <w:rPr>
          <w:rFonts w:ascii="Times New Roman" w:eastAsia="Times New Roman" w:hAnsi="Times New Roman" w:cs="Times New Roman"/>
          <w:kern w:val="0"/>
          <w:lang w:eastAsia="tr-TR"/>
          <w14:ligatures w14:val="none"/>
        </w:rPr>
        <w:br/>
        <w:t>16. İş sağlığı ve güvenliği tedbirlerinin laboratuvar, spor alanları, gezi ve etkinliklerde eksiksiz uygulanmasına karar verildi.</w:t>
      </w:r>
      <w:r w:rsidRPr="001A68D5">
        <w:rPr>
          <w:rFonts w:ascii="Times New Roman" w:eastAsia="Times New Roman" w:hAnsi="Times New Roman" w:cs="Times New Roman"/>
          <w:kern w:val="0"/>
          <w:lang w:eastAsia="tr-TR"/>
          <w14:ligatures w14:val="none"/>
        </w:rPr>
        <w:br/>
        <w:t>17. Eğitim ve öğretim yılı genelgesinde yer alan esasların ikinci dönemde de korunmasına; yılın “Maarifin Kalbinde Oyun” teması kapsamındaki oyun ve hareket etkinliklerinin sürdürülmesine karar verildi.</w:t>
      </w:r>
      <w:r w:rsidRPr="001A68D5">
        <w:rPr>
          <w:rFonts w:ascii="Times New Roman" w:eastAsia="Times New Roman" w:hAnsi="Times New Roman" w:cs="Times New Roman"/>
          <w:kern w:val="0"/>
          <w:lang w:eastAsia="tr-TR"/>
          <w14:ligatures w14:val="none"/>
        </w:rPr>
        <w:br/>
        <w:t>18. Birinci dönemde tespit edilen öğrenme eksiklerinin ikinci dönemde ders içi telafi ve destekleme çalışmalarıyla giderilmesine; değerlendirmenin öğretmenlerce hazırlanan süreç odaklı ölçme araçlarıyla yapılmasına karar verildi.</w:t>
      </w:r>
      <w:r w:rsidRPr="001A68D5">
        <w:rPr>
          <w:rFonts w:ascii="Times New Roman" w:eastAsia="Times New Roman" w:hAnsi="Times New Roman" w:cs="Times New Roman"/>
          <w:kern w:val="0"/>
          <w:lang w:eastAsia="tr-TR"/>
          <w14:ligatures w14:val="none"/>
        </w:rPr>
        <w:br/>
        <w:t>19. Cep telefonu uygulamasının ikinci dönemde de bütün derslerde aynı tutarlılıkla sürdürülmesine; dijital esenlik çalışmalarının rehberlik saatleriyle ilişkilendirilerek devam ettirilmesine karar verildi.</w:t>
      </w:r>
      <w:r w:rsidRPr="001A68D5">
        <w:rPr>
          <w:rFonts w:ascii="Times New Roman" w:eastAsia="Times New Roman" w:hAnsi="Times New Roman" w:cs="Times New Roman"/>
          <w:kern w:val="0"/>
          <w:lang w:eastAsia="tr-TR"/>
          <w14:ligatures w14:val="none"/>
        </w:rPr>
        <w:br/>
        <w:t>20. Bireyselleştirilmiş eğitim programlarının ikinci dönem başında gözden geçirilerek güncellenmesine</w:t>
      </w:r>
      <w:r w:rsidR="00A26ECF">
        <w:rPr>
          <w:rFonts w:ascii="Times New Roman" w:eastAsia="Times New Roman" w:hAnsi="Times New Roman" w:cs="Times New Roman"/>
          <w:kern w:val="0"/>
          <w:lang w:eastAsia="tr-TR"/>
          <w14:ligatures w14:val="none"/>
        </w:rPr>
        <w:t xml:space="preserve"> </w:t>
      </w:r>
      <w:r w:rsidRPr="001A68D5">
        <w:rPr>
          <w:rFonts w:ascii="Times New Roman" w:eastAsia="Times New Roman" w:hAnsi="Times New Roman" w:cs="Times New Roman"/>
          <w:kern w:val="0"/>
          <w:lang w:eastAsia="tr-TR"/>
          <w14:ligatures w14:val="none"/>
        </w:rPr>
        <w:t>karar verildi.</w:t>
      </w:r>
    </w:p>
    <w:p w14:paraId="61933DDC" w14:textId="77777777" w:rsidR="00A26ECF" w:rsidRDefault="00A26ECF" w:rsidP="005E558A">
      <w:pPr>
        <w:spacing w:after="0" w:line="240" w:lineRule="auto"/>
        <w:jc w:val="center"/>
        <w:rPr>
          <w:rFonts w:ascii="Times New Roman" w:eastAsia="Times New Roman" w:hAnsi="Times New Roman" w:cs="Times New Roman"/>
          <w:b/>
          <w:bCs/>
          <w:kern w:val="0"/>
          <w:lang w:eastAsia="tr-TR"/>
          <w14:ligatures w14:val="none"/>
        </w:rPr>
      </w:pPr>
    </w:p>
    <w:p w14:paraId="447A7328" w14:textId="2E828E20" w:rsidR="005E558A" w:rsidRPr="001A68D5" w:rsidRDefault="00AE51C0" w:rsidP="005E558A">
      <w:pPr>
        <w:spacing w:after="0" w:line="240" w:lineRule="auto"/>
        <w:jc w:val="center"/>
        <w:rPr>
          <w:rFonts w:ascii="Times New Roman" w:eastAsia="Times New Roman" w:hAnsi="Times New Roman" w:cs="Times New Roman"/>
          <w:b/>
          <w:bCs/>
          <w:kern w:val="0"/>
          <w:lang w:eastAsia="tr-TR"/>
          <w14:ligatures w14:val="none"/>
        </w:rPr>
      </w:pPr>
      <w:r w:rsidRPr="001A68D5">
        <w:rPr>
          <w:rFonts w:ascii="Times New Roman" w:eastAsia="Times New Roman" w:hAnsi="Times New Roman" w:cs="Times New Roman"/>
          <w:b/>
          <w:bCs/>
          <w:kern w:val="0"/>
          <w:lang w:eastAsia="tr-TR"/>
          <w14:ligatures w14:val="none"/>
        </w:rPr>
        <w:lastRenderedPageBreak/>
        <w:t>İMZA SİRKÜSÜ</w:t>
      </w:r>
    </w:p>
    <w:p w14:paraId="28A098A1" w14:textId="77777777" w:rsidR="00AE51C0" w:rsidRPr="001A68D5" w:rsidRDefault="00AE51C0" w:rsidP="005E558A">
      <w:pPr>
        <w:spacing w:after="0" w:line="240" w:lineRule="auto"/>
        <w:jc w:val="center"/>
        <w:rPr>
          <w:rFonts w:ascii="Times New Roman" w:eastAsia="Times New Roman" w:hAnsi="Times New Roman" w:cs="Times New Roman"/>
          <w:b/>
          <w:bCs/>
          <w:kern w:val="0"/>
          <w:lang w:eastAsia="tr-TR"/>
          <w14:ligatures w14:val="none"/>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8"/>
        <w:gridCol w:w="4253"/>
        <w:gridCol w:w="2693"/>
      </w:tblGrid>
      <w:tr w:rsidR="00663A43" w:rsidRPr="001A68D5" w14:paraId="1A69ED0D" w14:textId="77777777" w:rsidTr="00AE51C0">
        <w:trPr>
          <w:trHeight w:val="414"/>
        </w:trPr>
        <w:tc>
          <w:tcPr>
            <w:tcW w:w="3828" w:type="dxa"/>
            <w:noWrap/>
            <w:vAlign w:val="center"/>
            <w:hideMark/>
          </w:tcPr>
          <w:p w14:paraId="340C1CD3" w14:textId="77777777" w:rsidR="00663A43" w:rsidRPr="001A68D5" w:rsidRDefault="00663A43" w:rsidP="005E558A">
            <w:pPr>
              <w:spacing w:after="0" w:line="240" w:lineRule="auto"/>
              <w:jc w:val="center"/>
              <w:rPr>
                <w:rFonts w:ascii="Times New Roman" w:eastAsia="Times New Roman" w:hAnsi="Times New Roman" w:cs="Times New Roman"/>
                <w:b/>
                <w:color w:val="000000"/>
                <w:kern w:val="0"/>
                <w:sz w:val="22"/>
                <w:szCs w:val="22"/>
                <w:lang w:eastAsia="tr-TR"/>
                <w14:ligatures w14:val="none"/>
              </w:rPr>
            </w:pPr>
            <w:r w:rsidRPr="001A68D5">
              <w:rPr>
                <w:rFonts w:ascii="Times New Roman" w:eastAsia="Times New Roman" w:hAnsi="Times New Roman" w:cs="Times New Roman"/>
                <w:b/>
                <w:color w:val="000000"/>
                <w:kern w:val="0"/>
                <w:sz w:val="22"/>
                <w:szCs w:val="22"/>
                <w:lang w:eastAsia="tr-TR"/>
                <w14:ligatures w14:val="none"/>
              </w:rPr>
              <w:t>DERSİ</w:t>
            </w:r>
          </w:p>
        </w:tc>
        <w:tc>
          <w:tcPr>
            <w:tcW w:w="4253" w:type="dxa"/>
            <w:noWrap/>
            <w:vAlign w:val="center"/>
            <w:hideMark/>
          </w:tcPr>
          <w:p w14:paraId="4FBA974E" w14:textId="77777777" w:rsidR="00663A43" w:rsidRPr="001A68D5" w:rsidRDefault="00663A43" w:rsidP="005E558A">
            <w:pPr>
              <w:spacing w:after="0" w:line="240" w:lineRule="auto"/>
              <w:jc w:val="center"/>
              <w:rPr>
                <w:rFonts w:ascii="Times New Roman" w:eastAsia="Times New Roman" w:hAnsi="Times New Roman" w:cs="Times New Roman"/>
                <w:b/>
                <w:color w:val="000000"/>
                <w:kern w:val="0"/>
                <w:sz w:val="22"/>
                <w:szCs w:val="22"/>
                <w:lang w:eastAsia="tr-TR"/>
                <w14:ligatures w14:val="none"/>
              </w:rPr>
            </w:pPr>
            <w:r w:rsidRPr="001A68D5">
              <w:rPr>
                <w:rFonts w:ascii="Times New Roman" w:eastAsia="Times New Roman" w:hAnsi="Times New Roman" w:cs="Times New Roman"/>
                <w:b/>
                <w:color w:val="000000"/>
                <w:kern w:val="0"/>
                <w:sz w:val="22"/>
                <w:szCs w:val="22"/>
                <w:lang w:eastAsia="tr-TR"/>
                <w14:ligatures w14:val="none"/>
              </w:rPr>
              <w:t>ADI SOYADI</w:t>
            </w:r>
          </w:p>
        </w:tc>
        <w:tc>
          <w:tcPr>
            <w:tcW w:w="2693" w:type="dxa"/>
            <w:noWrap/>
            <w:vAlign w:val="center"/>
            <w:hideMark/>
          </w:tcPr>
          <w:p w14:paraId="444B5E35" w14:textId="77777777" w:rsidR="00663A43" w:rsidRPr="001A68D5" w:rsidRDefault="00663A43" w:rsidP="005E558A">
            <w:pPr>
              <w:spacing w:after="0" w:line="240" w:lineRule="auto"/>
              <w:jc w:val="center"/>
              <w:rPr>
                <w:rFonts w:ascii="Times New Roman" w:eastAsia="Times New Roman" w:hAnsi="Times New Roman" w:cs="Times New Roman"/>
                <w:b/>
                <w:color w:val="000000"/>
                <w:kern w:val="0"/>
                <w:sz w:val="22"/>
                <w:szCs w:val="22"/>
                <w:lang w:eastAsia="tr-TR"/>
                <w14:ligatures w14:val="none"/>
              </w:rPr>
            </w:pPr>
            <w:r w:rsidRPr="001A68D5">
              <w:rPr>
                <w:rFonts w:ascii="Times New Roman" w:eastAsia="Times New Roman" w:hAnsi="Times New Roman" w:cs="Times New Roman"/>
                <w:b/>
                <w:color w:val="000000"/>
                <w:kern w:val="0"/>
                <w:sz w:val="22"/>
                <w:szCs w:val="22"/>
                <w:lang w:eastAsia="tr-TR"/>
                <w14:ligatures w14:val="none"/>
              </w:rPr>
              <w:t>İMZA</w:t>
            </w:r>
          </w:p>
        </w:tc>
      </w:tr>
      <w:tr w:rsidR="00663A43" w:rsidRPr="001A68D5" w14:paraId="59E83D3C" w14:textId="77777777" w:rsidTr="00022C4C">
        <w:trPr>
          <w:trHeight w:val="581"/>
        </w:trPr>
        <w:tc>
          <w:tcPr>
            <w:tcW w:w="3828" w:type="dxa"/>
            <w:noWrap/>
            <w:vAlign w:val="center"/>
            <w:hideMark/>
          </w:tcPr>
          <w:p w14:paraId="6CB7BE5F" w14:textId="77777777" w:rsidR="00663A43" w:rsidRPr="001A68D5" w:rsidRDefault="00663A43"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1A68D5">
              <w:rPr>
                <w:rFonts w:ascii="Times New Roman" w:eastAsia="Times New Roman" w:hAnsi="Times New Roman" w:cs="Times New Roman"/>
                <w:color w:val="000000"/>
                <w:kern w:val="0"/>
                <w:sz w:val="20"/>
                <w:szCs w:val="20"/>
                <w:lang w:eastAsia="tr-TR"/>
                <w14:ligatures w14:val="none"/>
              </w:rPr>
              <w:t>BEDEN EĞİTİMİ VE SPOR</w:t>
            </w:r>
            <w:r w:rsidR="00AE51C0" w:rsidRPr="001A68D5">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600F3A9F" w14:textId="78689678"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4348C632" w14:textId="77777777"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1A68D5">
              <w:rPr>
                <w:rFonts w:ascii="Times New Roman" w:eastAsia="Times New Roman" w:hAnsi="Times New Roman" w:cs="Times New Roman"/>
                <w:color w:val="000000"/>
                <w:kern w:val="0"/>
                <w:sz w:val="22"/>
                <w:szCs w:val="22"/>
                <w:lang w:eastAsia="tr-TR"/>
                <w14:ligatures w14:val="none"/>
              </w:rPr>
              <w:t> </w:t>
            </w:r>
          </w:p>
        </w:tc>
      </w:tr>
      <w:tr w:rsidR="00663A43" w:rsidRPr="001A68D5" w14:paraId="4C3D6E57" w14:textId="77777777" w:rsidTr="00022C4C">
        <w:trPr>
          <w:trHeight w:val="568"/>
        </w:trPr>
        <w:tc>
          <w:tcPr>
            <w:tcW w:w="3828" w:type="dxa"/>
            <w:noWrap/>
            <w:vAlign w:val="center"/>
            <w:hideMark/>
          </w:tcPr>
          <w:p w14:paraId="3D82152B" w14:textId="77777777" w:rsidR="00663A43" w:rsidRPr="001A68D5" w:rsidRDefault="00663A43"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1A68D5">
              <w:rPr>
                <w:rFonts w:ascii="Times New Roman" w:eastAsia="Times New Roman" w:hAnsi="Times New Roman" w:cs="Times New Roman"/>
                <w:color w:val="000000"/>
                <w:kern w:val="0"/>
                <w:sz w:val="20"/>
                <w:szCs w:val="20"/>
                <w:lang w:eastAsia="tr-TR"/>
                <w14:ligatures w14:val="none"/>
              </w:rPr>
              <w:t>DİN</w:t>
            </w:r>
            <w:r w:rsidR="00AE51C0" w:rsidRPr="001A68D5">
              <w:rPr>
                <w:rFonts w:ascii="Times New Roman" w:eastAsia="Times New Roman" w:hAnsi="Times New Roman" w:cs="Times New Roman"/>
                <w:color w:val="000000"/>
                <w:kern w:val="0"/>
                <w:sz w:val="20"/>
                <w:szCs w:val="20"/>
                <w:lang w:eastAsia="tr-TR"/>
                <w14:ligatures w14:val="none"/>
              </w:rPr>
              <w:t xml:space="preserve"> </w:t>
            </w:r>
            <w:r w:rsidRPr="001A68D5">
              <w:rPr>
                <w:rFonts w:ascii="Times New Roman" w:eastAsia="Times New Roman" w:hAnsi="Times New Roman" w:cs="Times New Roman"/>
                <w:color w:val="000000"/>
                <w:kern w:val="0"/>
                <w:sz w:val="20"/>
                <w:szCs w:val="20"/>
                <w:lang w:eastAsia="tr-TR"/>
                <w14:ligatures w14:val="none"/>
              </w:rPr>
              <w:t>KÜLTÜRÜ VE AHLAK BİLGİSİ</w:t>
            </w:r>
            <w:r w:rsidR="00AE51C0" w:rsidRPr="001A68D5">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4272DB74" w14:textId="5F617D04"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4B59B9E5" w14:textId="77777777"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1A68D5">
              <w:rPr>
                <w:rFonts w:ascii="Times New Roman" w:eastAsia="Times New Roman" w:hAnsi="Times New Roman" w:cs="Times New Roman"/>
                <w:color w:val="000000"/>
                <w:kern w:val="0"/>
                <w:sz w:val="22"/>
                <w:szCs w:val="22"/>
                <w:lang w:eastAsia="tr-TR"/>
                <w14:ligatures w14:val="none"/>
              </w:rPr>
              <w:t> </w:t>
            </w:r>
          </w:p>
        </w:tc>
      </w:tr>
      <w:tr w:rsidR="00663A43" w:rsidRPr="001A68D5" w14:paraId="47139CB5" w14:textId="77777777" w:rsidTr="00022C4C">
        <w:trPr>
          <w:trHeight w:val="327"/>
        </w:trPr>
        <w:tc>
          <w:tcPr>
            <w:tcW w:w="3828" w:type="dxa"/>
            <w:noWrap/>
            <w:vAlign w:val="center"/>
            <w:hideMark/>
          </w:tcPr>
          <w:p w14:paraId="6BBEEBE0" w14:textId="77777777" w:rsidR="00663A43" w:rsidRPr="001A68D5" w:rsidRDefault="00663A43"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1A68D5">
              <w:rPr>
                <w:rFonts w:ascii="Times New Roman" w:eastAsia="Times New Roman" w:hAnsi="Times New Roman" w:cs="Times New Roman"/>
                <w:color w:val="000000"/>
                <w:kern w:val="0"/>
                <w:sz w:val="20"/>
                <w:szCs w:val="20"/>
                <w:lang w:eastAsia="tr-TR"/>
                <w14:ligatures w14:val="none"/>
              </w:rPr>
              <w:t>F</w:t>
            </w:r>
            <w:r w:rsidR="006B4A00" w:rsidRPr="001A68D5">
              <w:rPr>
                <w:rFonts w:ascii="Times New Roman" w:eastAsia="Times New Roman" w:hAnsi="Times New Roman" w:cs="Times New Roman"/>
                <w:color w:val="000000"/>
                <w:kern w:val="0"/>
                <w:sz w:val="20"/>
                <w:szCs w:val="20"/>
                <w:lang w:eastAsia="tr-TR"/>
                <w14:ligatures w14:val="none"/>
              </w:rPr>
              <w:t>İZİK</w:t>
            </w:r>
            <w:r w:rsidR="00AE51C0" w:rsidRPr="001A68D5">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166BDC46" w14:textId="3A05F35F"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42EE327C" w14:textId="77777777"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1A68D5">
              <w:rPr>
                <w:rFonts w:ascii="Times New Roman" w:eastAsia="Times New Roman" w:hAnsi="Times New Roman" w:cs="Times New Roman"/>
                <w:color w:val="000000"/>
                <w:kern w:val="0"/>
                <w:sz w:val="22"/>
                <w:szCs w:val="22"/>
                <w:lang w:eastAsia="tr-TR"/>
                <w14:ligatures w14:val="none"/>
              </w:rPr>
              <w:t> </w:t>
            </w:r>
          </w:p>
        </w:tc>
      </w:tr>
      <w:tr w:rsidR="00663A43" w:rsidRPr="001A68D5" w14:paraId="31C25CD8" w14:textId="77777777" w:rsidTr="00022C4C">
        <w:trPr>
          <w:trHeight w:val="403"/>
        </w:trPr>
        <w:tc>
          <w:tcPr>
            <w:tcW w:w="3828" w:type="dxa"/>
            <w:noWrap/>
            <w:vAlign w:val="center"/>
            <w:hideMark/>
          </w:tcPr>
          <w:p w14:paraId="566FA78A" w14:textId="77777777" w:rsidR="00663A43" w:rsidRPr="001A68D5" w:rsidRDefault="00663A43"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1A68D5">
              <w:rPr>
                <w:rFonts w:ascii="Times New Roman" w:eastAsia="Times New Roman" w:hAnsi="Times New Roman" w:cs="Times New Roman"/>
                <w:color w:val="000000"/>
                <w:kern w:val="0"/>
                <w:sz w:val="20"/>
                <w:szCs w:val="20"/>
                <w:lang w:eastAsia="tr-TR"/>
                <w14:ligatures w14:val="none"/>
              </w:rPr>
              <w:t>GÖRSEL SANATLAR</w:t>
            </w:r>
            <w:r w:rsidR="00AE51C0" w:rsidRPr="001A68D5">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147B4688" w14:textId="11565317"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584D8A60" w14:textId="77777777"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1A68D5">
              <w:rPr>
                <w:rFonts w:ascii="Times New Roman" w:eastAsia="Times New Roman" w:hAnsi="Times New Roman" w:cs="Times New Roman"/>
                <w:color w:val="000000"/>
                <w:kern w:val="0"/>
                <w:sz w:val="22"/>
                <w:szCs w:val="22"/>
                <w:lang w:eastAsia="tr-TR"/>
                <w14:ligatures w14:val="none"/>
              </w:rPr>
              <w:t> </w:t>
            </w:r>
          </w:p>
        </w:tc>
      </w:tr>
      <w:tr w:rsidR="00663A43" w:rsidRPr="001A68D5" w14:paraId="28CA3AE1" w14:textId="77777777" w:rsidTr="00022C4C">
        <w:trPr>
          <w:trHeight w:val="416"/>
        </w:trPr>
        <w:tc>
          <w:tcPr>
            <w:tcW w:w="3828" w:type="dxa"/>
            <w:noWrap/>
            <w:vAlign w:val="center"/>
            <w:hideMark/>
          </w:tcPr>
          <w:p w14:paraId="08708764" w14:textId="77777777" w:rsidR="00663A43" w:rsidRPr="001A68D5" w:rsidRDefault="00663A43"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1A68D5">
              <w:rPr>
                <w:rFonts w:ascii="Times New Roman" w:eastAsia="Times New Roman" w:hAnsi="Times New Roman" w:cs="Times New Roman"/>
                <w:color w:val="000000"/>
                <w:kern w:val="0"/>
                <w:sz w:val="20"/>
                <w:szCs w:val="20"/>
                <w:lang w:eastAsia="tr-TR"/>
                <w14:ligatures w14:val="none"/>
              </w:rPr>
              <w:t>MATEMATİK</w:t>
            </w:r>
            <w:r w:rsidR="00AE51C0" w:rsidRPr="001A68D5">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6006AE4A" w14:textId="37BE4916"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7B59381A" w14:textId="77777777"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1A68D5">
              <w:rPr>
                <w:rFonts w:ascii="Times New Roman" w:eastAsia="Times New Roman" w:hAnsi="Times New Roman" w:cs="Times New Roman"/>
                <w:color w:val="000000"/>
                <w:kern w:val="0"/>
                <w:sz w:val="22"/>
                <w:szCs w:val="22"/>
                <w:lang w:eastAsia="tr-TR"/>
                <w14:ligatures w14:val="none"/>
              </w:rPr>
              <w:t> </w:t>
            </w:r>
          </w:p>
        </w:tc>
      </w:tr>
      <w:tr w:rsidR="00663A43" w:rsidRPr="001A68D5" w14:paraId="755DACCA" w14:textId="77777777" w:rsidTr="00022C4C">
        <w:trPr>
          <w:trHeight w:val="409"/>
        </w:trPr>
        <w:tc>
          <w:tcPr>
            <w:tcW w:w="3828" w:type="dxa"/>
            <w:noWrap/>
            <w:vAlign w:val="center"/>
            <w:hideMark/>
          </w:tcPr>
          <w:p w14:paraId="71417FE9" w14:textId="77777777" w:rsidR="00663A43" w:rsidRPr="001A68D5" w:rsidRDefault="006B4A00"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1A68D5">
              <w:rPr>
                <w:rFonts w:ascii="Times New Roman" w:eastAsia="Times New Roman" w:hAnsi="Times New Roman" w:cs="Times New Roman"/>
                <w:color w:val="000000"/>
                <w:kern w:val="0"/>
                <w:sz w:val="20"/>
                <w:szCs w:val="20"/>
                <w:lang w:eastAsia="tr-TR"/>
                <w14:ligatures w14:val="none"/>
              </w:rPr>
              <w:t>COĞRAFYA</w:t>
            </w:r>
            <w:r w:rsidR="00AE51C0" w:rsidRPr="001A68D5">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78D4F3FE" w14:textId="1A069F85"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1CA15C46" w14:textId="77777777"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1A68D5">
              <w:rPr>
                <w:rFonts w:ascii="Times New Roman" w:eastAsia="Times New Roman" w:hAnsi="Times New Roman" w:cs="Times New Roman"/>
                <w:color w:val="000000"/>
                <w:kern w:val="0"/>
                <w:sz w:val="22"/>
                <w:szCs w:val="22"/>
                <w:lang w:eastAsia="tr-TR"/>
                <w14:ligatures w14:val="none"/>
              </w:rPr>
              <w:t> </w:t>
            </w:r>
          </w:p>
        </w:tc>
      </w:tr>
      <w:tr w:rsidR="00663A43" w:rsidRPr="001A68D5" w14:paraId="46A1EE1D" w14:textId="77777777" w:rsidTr="00022C4C">
        <w:trPr>
          <w:trHeight w:val="415"/>
        </w:trPr>
        <w:tc>
          <w:tcPr>
            <w:tcW w:w="3828" w:type="dxa"/>
            <w:noWrap/>
            <w:vAlign w:val="center"/>
            <w:hideMark/>
          </w:tcPr>
          <w:p w14:paraId="25BAA68A" w14:textId="77777777" w:rsidR="00663A43" w:rsidRPr="001A68D5" w:rsidRDefault="006B4A00"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1A68D5">
              <w:rPr>
                <w:rFonts w:ascii="Times New Roman" w:eastAsia="Times New Roman" w:hAnsi="Times New Roman" w:cs="Times New Roman"/>
                <w:color w:val="000000"/>
                <w:kern w:val="0"/>
                <w:sz w:val="20"/>
                <w:szCs w:val="20"/>
                <w:lang w:eastAsia="tr-TR"/>
                <w14:ligatures w14:val="none"/>
              </w:rPr>
              <w:t>TÜRK DİLİ VE EDEBİYATI</w:t>
            </w:r>
            <w:r w:rsidR="00AE51C0" w:rsidRPr="001A68D5">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0493B801" w14:textId="0B227295"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3206B6DC" w14:textId="77777777"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1A68D5">
              <w:rPr>
                <w:rFonts w:ascii="Times New Roman" w:eastAsia="Times New Roman" w:hAnsi="Times New Roman" w:cs="Times New Roman"/>
                <w:color w:val="000000"/>
                <w:kern w:val="0"/>
                <w:sz w:val="22"/>
                <w:szCs w:val="22"/>
                <w:lang w:eastAsia="tr-TR"/>
                <w14:ligatures w14:val="none"/>
              </w:rPr>
              <w:t> </w:t>
            </w:r>
          </w:p>
        </w:tc>
      </w:tr>
      <w:tr w:rsidR="00663A43" w:rsidRPr="001A68D5" w14:paraId="020DFFC9" w14:textId="77777777" w:rsidTr="00022C4C">
        <w:trPr>
          <w:trHeight w:val="420"/>
        </w:trPr>
        <w:tc>
          <w:tcPr>
            <w:tcW w:w="3828" w:type="dxa"/>
            <w:noWrap/>
            <w:vAlign w:val="center"/>
            <w:hideMark/>
          </w:tcPr>
          <w:p w14:paraId="4D38A05B" w14:textId="77777777" w:rsidR="00663A43" w:rsidRPr="001A68D5" w:rsidRDefault="006B4A00"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1A68D5">
              <w:rPr>
                <w:rFonts w:ascii="Times New Roman" w:eastAsia="Times New Roman" w:hAnsi="Times New Roman" w:cs="Times New Roman"/>
                <w:color w:val="000000"/>
                <w:kern w:val="0"/>
                <w:sz w:val="20"/>
                <w:szCs w:val="20"/>
                <w:lang w:eastAsia="tr-TR"/>
                <w14:ligatures w14:val="none"/>
              </w:rPr>
              <w:t>FELSEFE</w:t>
            </w:r>
            <w:r w:rsidR="00AE51C0" w:rsidRPr="001A68D5">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106CAA63" w14:textId="4392799F"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33D15DF3" w14:textId="77777777"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1A68D5">
              <w:rPr>
                <w:rFonts w:ascii="Times New Roman" w:eastAsia="Times New Roman" w:hAnsi="Times New Roman" w:cs="Times New Roman"/>
                <w:color w:val="000000"/>
                <w:kern w:val="0"/>
                <w:sz w:val="22"/>
                <w:szCs w:val="22"/>
                <w:lang w:eastAsia="tr-TR"/>
                <w14:ligatures w14:val="none"/>
              </w:rPr>
              <w:t> </w:t>
            </w:r>
          </w:p>
        </w:tc>
      </w:tr>
      <w:tr w:rsidR="00663A43" w:rsidRPr="001A68D5" w14:paraId="5F70CECE" w14:textId="77777777" w:rsidTr="00022C4C">
        <w:trPr>
          <w:trHeight w:val="413"/>
        </w:trPr>
        <w:tc>
          <w:tcPr>
            <w:tcW w:w="3828" w:type="dxa"/>
            <w:noWrap/>
            <w:vAlign w:val="center"/>
            <w:hideMark/>
          </w:tcPr>
          <w:p w14:paraId="6E1A6096" w14:textId="77777777" w:rsidR="00663A43" w:rsidRPr="001A68D5" w:rsidRDefault="00663A43"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1A68D5">
              <w:rPr>
                <w:rFonts w:ascii="Times New Roman" w:eastAsia="Times New Roman" w:hAnsi="Times New Roman" w:cs="Times New Roman"/>
                <w:color w:val="000000"/>
                <w:kern w:val="0"/>
                <w:sz w:val="20"/>
                <w:szCs w:val="20"/>
                <w:lang w:eastAsia="tr-TR"/>
                <w14:ligatures w14:val="none"/>
              </w:rPr>
              <w:t>YABANCI DİL</w:t>
            </w:r>
            <w:r w:rsidR="00AE51C0" w:rsidRPr="001A68D5">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04F85EE6" w14:textId="6550AB24"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475D4019" w14:textId="77777777"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1A68D5">
              <w:rPr>
                <w:rFonts w:ascii="Times New Roman" w:eastAsia="Times New Roman" w:hAnsi="Times New Roman" w:cs="Times New Roman"/>
                <w:color w:val="000000"/>
                <w:kern w:val="0"/>
                <w:sz w:val="22"/>
                <w:szCs w:val="22"/>
                <w:lang w:eastAsia="tr-TR"/>
                <w14:ligatures w14:val="none"/>
              </w:rPr>
              <w:t> </w:t>
            </w:r>
          </w:p>
        </w:tc>
      </w:tr>
      <w:tr w:rsidR="00663A43" w:rsidRPr="001A68D5" w14:paraId="05DD4B6F" w14:textId="77777777" w:rsidTr="00022C4C">
        <w:trPr>
          <w:trHeight w:val="417"/>
        </w:trPr>
        <w:tc>
          <w:tcPr>
            <w:tcW w:w="3828" w:type="dxa"/>
            <w:noWrap/>
            <w:vAlign w:val="center"/>
            <w:hideMark/>
          </w:tcPr>
          <w:p w14:paraId="72A25643" w14:textId="77777777" w:rsidR="00663A43" w:rsidRPr="001A68D5" w:rsidRDefault="006B4A00"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1A68D5">
              <w:rPr>
                <w:rFonts w:ascii="Times New Roman" w:eastAsia="Times New Roman" w:hAnsi="Times New Roman" w:cs="Times New Roman"/>
                <w:color w:val="000000"/>
                <w:kern w:val="0"/>
                <w:sz w:val="20"/>
                <w:szCs w:val="20"/>
                <w:lang w:eastAsia="tr-TR"/>
                <w14:ligatures w14:val="none"/>
              </w:rPr>
              <w:t>KİMYA</w:t>
            </w:r>
            <w:r w:rsidR="00AE51C0" w:rsidRPr="001A68D5">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58D430DD" w14:textId="4C74EC7D" w:rsidR="00663A43" w:rsidRPr="001A68D5" w:rsidRDefault="00663A43" w:rsidP="005E558A">
            <w:pPr>
              <w:spacing w:after="0" w:line="240" w:lineRule="auto"/>
              <w:jc w:val="center"/>
              <w:rPr>
                <w:rFonts w:ascii="Times New Roman" w:eastAsia="Times New Roman" w:hAnsi="Times New Roman" w:cs="Times New Roman"/>
                <w:color w:val="000000"/>
                <w:kern w:val="0"/>
                <w:sz w:val="20"/>
                <w:szCs w:val="20"/>
                <w:lang w:eastAsia="tr-TR"/>
                <w14:ligatures w14:val="none"/>
              </w:rPr>
            </w:pPr>
          </w:p>
        </w:tc>
        <w:tc>
          <w:tcPr>
            <w:tcW w:w="2693" w:type="dxa"/>
            <w:noWrap/>
            <w:hideMark/>
          </w:tcPr>
          <w:p w14:paraId="5F63771C" w14:textId="77777777"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1A68D5">
              <w:rPr>
                <w:rFonts w:ascii="Times New Roman" w:eastAsia="Times New Roman" w:hAnsi="Times New Roman" w:cs="Times New Roman"/>
                <w:color w:val="000000"/>
                <w:kern w:val="0"/>
                <w:sz w:val="22"/>
                <w:szCs w:val="22"/>
                <w:lang w:eastAsia="tr-TR"/>
                <w14:ligatures w14:val="none"/>
              </w:rPr>
              <w:t> </w:t>
            </w:r>
          </w:p>
        </w:tc>
      </w:tr>
      <w:tr w:rsidR="00663A43" w:rsidRPr="001A68D5" w14:paraId="227F1FEB" w14:textId="77777777" w:rsidTr="00022C4C">
        <w:trPr>
          <w:trHeight w:val="409"/>
        </w:trPr>
        <w:tc>
          <w:tcPr>
            <w:tcW w:w="3828" w:type="dxa"/>
            <w:noWrap/>
            <w:vAlign w:val="center"/>
            <w:hideMark/>
          </w:tcPr>
          <w:p w14:paraId="15A3A822" w14:textId="77777777" w:rsidR="00663A43" w:rsidRPr="001A68D5" w:rsidRDefault="006B4A00"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1A68D5">
              <w:rPr>
                <w:rFonts w:ascii="Times New Roman" w:eastAsia="Times New Roman" w:hAnsi="Times New Roman" w:cs="Times New Roman"/>
                <w:color w:val="000000"/>
                <w:kern w:val="0"/>
                <w:sz w:val="20"/>
                <w:szCs w:val="20"/>
                <w:lang w:eastAsia="tr-TR"/>
                <w14:ligatures w14:val="none"/>
              </w:rPr>
              <w:t>BİYOLOJİ</w:t>
            </w:r>
            <w:r w:rsidR="00AE51C0" w:rsidRPr="001A68D5">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4275ECC7" w14:textId="3CA160E9"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4109729F" w14:textId="77777777" w:rsidR="00663A43" w:rsidRPr="001A68D5"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1A68D5">
              <w:rPr>
                <w:rFonts w:ascii="Times New Roman" w:eastAsia="Times New Roman" w:hAnsi="Times New Roman" w:cs="Times New Roman"/>
                <w:color w:val="000000"/>
                <w:kern w:val="0"/>
                <w:sz w:val="22"/>
                <w:szCs w:val="22"/>
                <w:lang w:eastAsia="tr-TR"/>
                <w14:ligatures w14:val="none"/>
              </w:rPr>
              <w:t> </w:t>
            </w:r>
          </w:p>
        </w:tc>
      </w:tr>
      <w:tr w:rsidR="00AE3C6E" w:rsidRPr="001A68D5" w14:paraId="7C930262" w14:textId="77777777" w:rsidTr="00AE51C0">
        <w:trPr>
          <w:trHeight w:val="409"/>
        </w:trPr>
        <w:tc>
          <w:tcPr>
            <w:tcW w:w="3828" w:type="dxa"/>
            <w:noWrap/>
            <w:vAlign w:val="center"/>
          </w:tcPr>
          <w:p w14:paraId="01F85244" w14:textId="77777777" w:rsidR="00AE3C6E" w:rsidRPr="001A68D5" w:rsidRDefault="00AE3C6E"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1A68D5">
              <w:rPr>
                <w:rFonts w:ascii="Times New Roman" w:eastAsia="Times New Roman" w:hAnsi="Times New Roman" w:cs="Times New Roman"/>
                <w:color w:val="000000"/>
                <w:kern w:val="0"/>
                <w:sz w:val="20"/>
                <w:szCs w:val="20"/>
                <w:lang w:eastAsia="tr-TR"/>
                <w14:ligatures w14:val="none"/>
              </w:rPr>
              <w:t>REHBERLİK</w:t>
            </w:r>
            <w:r w:rsidR="00AE51C0" w:rsidRPr="001A68D5">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2E78B0A7" w14:textId="160F9AE5" w:rsidR="00AE3C6E" w:rsidRPr="001A68D5"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tcPr>
          <w:p w14:paraId="671DC81E" w14:textId="77777777" w:rsidR="00AE3C6E" w:rsidRPr="001A68D5"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r>
      <w:tr w:rsidR="00AE3C6E" w:rsidRPr="001A68D5" w14:paraId="3996761E" w14:textId="77777777" w:rsidTr="00AE51C0">
        <w:trPr>
          <w:trHeight w:val="498"/>
        </w:trPr>
        <w:tc>
          <w:tcPr>
            <w:tcW w:w="3828" w:type="dxa"/>
            <w:noWrap/>
            <w:vAlign w:val="center"/>
          </w:tcPr>
          <w:p w14:paraId="2ECF617D" w14:textId="77777777" w:rsidR="00AE3C6E" w:rsidRPr="001A68D5" w:rsidRDefault="00AE3C6E"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1A68D5">
              <w:rPr>
                <w:rFonts w:ascii="Times New Roman" w:eastAsia="Times New Roman" w:hAnsi="Times New Roman" w:cs="Times New Roman"/>
                <w:color w:val="000000"/>
                <w:kern w:val="0"/>
                <w:sz w:val="20"/>
                <w:szCs w:val="20"/>
                <w:lang w:eastAsia="tr-TR"/>
                <w14:ligatures w14:val="none"/>
              </w:rPr>
              <w:t>BİLİŞİM TEKNOLOJİLERİ VE YAZILIM</w:t>
            </w:r>
            <w:r w:rsidR="00AE51C0" w:rsidRPr="001A68D5">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64DBC3DC" w14:textId="6FB60B45" w:rsidR="00AE3C6E" w:rsidRPr="001A68D5"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tcPr>
          <w:p w14:paraId="5DF5CBC0" w14:textId="77777777" w:rsidR="00AE3C6E" w:rsidRPr="001A68D5"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r>
      <w:tr w:rsidR="00AE3C6E" w:rsidRPr="001A68D5" w14:paraId="0BCE72D8" w14:textId="77777777" w:rsidTr="00AE51C0">
        <w:trPr>
          <w:trHeight w:val="409"/>
        </w:trPr>
        <w:tc>
          <w:tcPr>
            <w:tcW w:w="3828" w:type="dxa"/>
            <w:noWrap/>
            <w:vAlign w:val="center"/>
          </w:tcPr>
          <w:p w14:paraId="5C3E2FEB" w14:textId="77777777" w:rsidR="00AE3C6E" w:rsidRPr="001A68D5" w:rsidRDefault="00AE3C6E"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1A68D5">
              <w:rPr>
                <w:rFonts w:ascii="Times New Roman" w:eastAsia="Times New Roman" w:hAnsi="Times New Roman" w:cs="Times New Roman"/>
                <w:color w:val="000000"/>
                <w:kern w:val="0"/>
                <w:sz w:val="20"/>
                <w:szCs w:val="20"/>
                <w:lang w:eastAsia="tr-TR"/>
                <w14:ligatures w14:val="none"/>
              </w:rPr>
              <w:t>TARİH</w:t>
            </w:r>
            <w:r w:rsidR="00AE51C0" w:rsidRPr="001A68D5">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58C12E19" w14:textId="35DB4C3B" w:rsidR="00AE3C6E" w:rsidRPr="001A68D5"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tcPr>
          <w:p w14:paraId="06126C39" w14:textId="77777777" w:rsidR="00AE3C6E" w:rsidRPr="001A68D5"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r>
    </w:tbl>
    <w:p w14:paraId="0A187B6C" w14:textId="77777777" w:rsidR="005E558A" w:rsidRPr="001A68D5" w:rsidRDefault="005E558A" w:rsidP="005E558A">
      <w:pPr>
        <w:spacing w:after="0" w:line="360" w:lineRule="auto"/>
        <w:rPr>
          <w:rFonts w:ascii="Times New Roman" w:eastAsia="Times New Roman" w:hAnsi="Times New Roman" w:cs="Times New Roman"/>
          <w:kern w:val="0"/>
          <w:lang w:eastAsia="tr-TR"/>
          <w14:ligatures w14:val="none"/>
        </w:rPr>
      </w:pPr>
      <w:r w:rsidRPr="001A68D5">
        <w:rPr>
          <w:rFonts w:ascii="Times New Roman" w:eastAsia="Times New Roman" w:hAnsi="Times New Roman" w:cs="Times New Roman"/>
          <w:kern w:val="0"/>
          <w:lang w:eastAsia="tr-TR"/>
          <w14:ligatures w14:val="none"/>
        </w:rPr>
        <w:tab/>
      </w:r>
      <w:r w:rsidRPr="001A68D5">
        <w:rPr>
          <w:rFonts w:ascii="Times New Roman" w:eastAsia="Times New Roman" w:hAnsi="Times New Roman" w:cs="Times New Roman"/>
          <w:kern w:val="0"/>
          <w:lang w:eastAsia="tr-TR"/>
          <w14:ligatures w14:val="none"/>
        </w:rPr>
        <w:tab/>
      </w:r>
      <w:r w:rsidRPr="001A68D5">
        <w:rPr>
          <w:rFonts w:ascii="Times New Roman" w:eastAsia="Times New Roman" w:hAnsi="Times New Roman" w:cs="Times New Roman"/>
          <w:kern w:val="0"/>
          <w:lang w:eastAsia="tr-TR"/>
          <w14:ligatures w14:val="none"/>
        </w:rPr>
        <w:tab/>
      </w:r>
      <w:r w:rsidRPr="001A68D5">
        <w:rPr>
          <w:rFonts w:ascii="Times New Roman" w:eastAsia="Times New Roman" w:hAnsi="Times New Roman" w:cs="Times New Roman"/>
          <w:kern w:val="0"/>
          <w:lang w:eastAsia="tr-TR"/>
          <w14:ligatures w14:val="none"/>
        </w:rPr>
        <w:tab/>
      </w:r>
      <w:r w:rsidRPr="001A68D5">
        <w:rPr>
          <w:rFonts w:ascii="Times New Roman" w:eastAsia="Times New Roman" w:hAnsi="Times New Roman" w:cs="Times New Roman"/>
          <w:kern w:val="0"/>
          <w:lang w:eastAsia="tr-TR"/>
          <w14:ligatures w14:val="none"/>
        </w:rPr>
        <w:tab/>
      </w:r>
      <w:r w:rsidRPr="001A68D5">
        <w:rPr>
          <w:rFonts w:ascii="Times New Roman" w:eastAsia="Times New Roman" w:hAnsi="Times New Roman" w:cs="Times New Roman"/>
          <w:kern w:val="0"/>
          <w:lang w:eastAsia="tr-TR"/>
          <w14:ligatures w14:val="none"/>
        </w:rPr>
        <w:tab/>
      </w:r>
      <w:r w:rsidRPr="001A68D5">
        <w:rPr>
          <w:rFonts w:ascii="Times New Roman" w:eastAsia="Times New Roman" w:hAnsi="Times New Roman" w:cs="Times New Roman"/>
          <w:kern w:val="0"/>
          <w:lang w:eastAsia="tr-TR"/>
          <w14:ligatures w14:val="none"/>
        </w:rPr>
        <w:tab/>
      </w:r>
      <w:r w:rsidRPr="001A68D5">
        <w:rPr>
          <w:rFonts w:ascii="Times New Roman" w:eastAsia="Times New Roman" w:hAnsi="Times New Roman" w:cs="Times New Roman"/>
          <w:kern w:val="0"/>
          <w:lang w:eastAsia="tr-TR"/>
          <w14:ligatures w14:val="none"/>
        </w:rPr>
        <w:tab/>
      </w:r>
      <w:r w:rsidRPr="001A68D5">
        <w:rPr>
          <w:rFonts w:ascii="Times New Roman" w:eastAsia="Times New Roman" w:hAnsi="Times New Roman" w:cs="Times New Roman"/>
          <w:kern w:val="0"/>
          <w:lang w:eastAsia="tr-TR"/>
          <w14:ligatures w14:val="none"/>
        </w:rPr>
        <w:tab/>
      </w:r>
      <w:r w:rsidRPr="001A68D5">
        <w:rPr>
          <w:rFonts w:ascii="Times New Roman" w:eastAsia="Times New Roman" w:hAnsi="Times New Roman" w:cs="Times New Roman"/>
          <w:kern w:val="0"/>
          <w:lang w:eastAsia="tr-TR"/>
          <w14:ligatures w14:val="none"/>
        </w:rPr>
        <w:tab/>
      </w:r>
    </w:p>
    <w:tbl>
      <w:tblPr>
        <w:tblStyle w:val="TabloKlavuzu"/>
        <w:tblW w:w="1105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8"/>
      </w:tblGrid>
      <w:tr w:rsidR="00EE1765" w:rsidRPr="00E318C1" w14:paraId="14AED1C6" w14:textId="77777777" w:rsidTr="00897F85">
        <w:trPr>
          <w:trHeight w:val="442"/>
        </w:trPr>
        <w:tc>
          <w:tcPr>
            <w:tcW w:w="11058" w:type="dxa"/>
          </w:tcPr>
          <w:p w14:paraId="104A7D1F" w14:textId="77777777" w:rsidR="00EE1765" w:rsidRPr="00E318C1" w:rsidRDefault="00EE1765" w:rsidP="00897F85">
            <w:pPr>
              <w:rPr>
                <w:sz w:val="24"/>
                <w:szCs w:val="24"/>
              </w:rPr>
            </w:pPr>
            <w:r>
              <w:rPr>
                <w:sz w:val="24"/>
                <w:szCs w:val="24"/>
              </w:rPr>
              <w:t>…</w:t>
            </w:r>
          </w:p>
        </w:tc>
      </w:tr>
      <w:tr w:rsidR="00EE1765" w:rsidRPr="00E318C1" w14:paraId="03F2B7E0" w14:textId="77777777" w:rsidTr="00897F85">
        <w:trPr>
          <w:trHeight w:val="418"/>
        </w:trPr>
        <w:tc>
          <w:tcPr>
            <w:tcW w:w="11058" w:type="dxa"/>
          </w:tcPr>
          <w:p w14:paraId="11B265A9" w14:textId="77777777" w:rsidR="00EE1765" w:rsidRPr="00EC65C8" w:rsidRDefault="00EE1765" w:rsidP="00897F85">
            <w:pPr>
              <w:rPr>
                <w:b/>
                <w:bCs/>
                <w:sz w:val="24"/>
                <w:szCs w:val="24"/>
              </w:rPr>
            </w:pPr>
            <w:r w:rsidRPr="00EC65C8">
              <w:rPr>
                <w:b/>
                <w:bCs/>
                <w:sz w:val="24"/>
                <w:szCs w:val="24"/>
              </w:rPr>
              <w:t xml:space="preserve">Sınıf Rehber Öğretmeni                                                            </w:t>
            </w:r>
          </w:p>
        </w:tc>
      </w:tr>
      <w:tr w:rsidR="00EE1765" w:rsidRPr="00EC65C8" w14:paraId="2B878DF7" w14:textId="77777777" w:rsidTr="00897F85">
        <w:trPr>
          <w:trHeight w:val="418"/>
        </w:trPr>
        <w:tc>
          <w:tcPr>
            <w:tcW w:w="11058" w:type="dxa"/>
          </w:tcPr>
          <w:p w14:paraId="1184B7B0" w14:textId="77777777" w:rsidR="00EE1765" w:rsidRPr="00EC65C8" w:rsidRDefault="00EE1765" w:rsidP="00897F85">
            <w:pPr>
              <w:jc w:val="center"/>
            </w:pPr>
            <w:r>
              <w:rPr>
                <w:sz w:val="24"/>
                <w:szCs w:val="24"/>
              </w:rPr>
              <w:t xml:space="preserve">                                                                                                                     …</w:t>
            </w:r>
          </w:p>
        </w:tc>
      </w:tr>
    </w:tbl>
    <w:p w14:paraId="0A5E0AF6" w14:textId="77777777" w:rsidR="00EE1765" w:rsidRPr="00EC65C8" w:rsidRDefault="00EE1765" w:rsidP="00EE1765">
      <w:pPr>
        <w:spacing w:after="0" w:line="360" w:lineRule="auto"/>
        <w:jc w:val="right"/>
        <w:rPr>
          <w:rFonts w:ascii="Times New Roman" w:eastAsia="Times New Roman" w:hAnsi="Times New Roman" w:cs="Times New Roman"/>
          <w:b/>
          <w:bCs/>
          <w:kern w:val="0"/>
          <w:lang w:eastAsia="tr-TR"/>
          <w14:ligatures w14:val="none"/>
        </w:rPr>
      </w:pPr>
      <w:r>
        <w:rPr>
          <w:rFonts w:ascii="Times New Roman" w:hAnsi="Times New Roman" w:cs="Times New Roman"/>
        </w:rPr>
        <w:t xml:space="preserve">  </w:t>
      </w:r>
      <w:r w:rsidRPr="00EC65C8">
        <w:rPr>
          <w:rFonts w:ascii="Times New Roman" w:hAnsi="Times New Roman" w:cs="Times New Roman"/>
          <w:b/>
          <w:bCs/>
        </w:rPr>
        <w:t>Müdür Yardımcısı</w:t>
      </w:r>
    </w:p>
    <w:p w14:paraId="54D724C1" w14:textId="77777777" w:rsidR="00EE1765" w:rsidRPr="001079F8" w:rsidRDefault="00EE1765" w:rsidP="00EE1765">
      <w:pPr>
        <w:tabs>
          <w:tab w:val="left" w:pos="8647"/>
        </w:tabs>
        <w:spacing w:after="0" w:line="360" w:lineRule="auto"/>
        <w:ind w:right="-24"/>
        <w:jc w:val="center"/>
        <w:rPr>
          <w:rFonts w:ascii="Arial" w:eastAsia="Times New Roman" w:hAnsi="Arial" w:cs="Arial"/>
          <w:kern w:val="0"/>
          <w:lang w:eastAsia="tr-TR"/>
          <w14:ligatures w14:val="none"/>
        </w:rPr>
      </w:pPr>
    </w:p>
    <w:tbl>
      <w:tblPr>
        <w:tblStyle w:val="TabloKlavuzu"/>
        <w:tblpPr w:leftFromText="141" w:rightFromText="141" w:vertAnchor="text" w:horzAnchor="page" w:tblpX="4390" w:tblpY="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tblGrid>
      <w:tr w:rsidR="00EE1765" w:rsidRPr="001079F8" w14:paraId="7EC72D05" w14:textId="77777777" w:rsidTr="00897F85">
        <w:trPr>
          <w:trHeight w:val="331"/>
        </w:trPr>
        <w:tc>
          <w:tcPr>
            <w:tcW w:w="2812" w:type="dxa"/>
          </w:tcPr>
          <w:p w14:paraId="5CA9F274" w14:textId="77777777" w:rsidR="00EE1765" w:rsidRPr="001079F8" w:rsidRDefault="00EE1765" w:rsidP="00897F85">
            <w:pPr>
              <w:jc w:val="center"/>
              <w:rPr>
                <w:b/>
                <w:sz w:val="24"/>
                <w:szCs w:val="24"/>
              </w:rPr>
            </w:pPr>
            <w:r w:rsidRPr="001079F8">
              <w:rPr>
                <w:b/>
                <w:sz w:val="24"/>
                <w:szCs w:val="24"/>
              </w:rPr>
              <w:t>UYGUNDUR</w:t>
            </w:r>
          </w:p>
        </w:tc>
      </w:tr>
      <w:tr w:rsidR="00EE1765" w:rsidRPr="001079F8" w14:paraId="225B8FAC" w14:textId="77777777" w:rsidTr="00897F85">
        <w:trPr>
          <w:trHeight w:val="320"/>
        </w:trPr>
        <w:tc>
          <w:tcPr>
            <w:tcW w:w="2812" w:type="dxa"/>
          </w:tcPr>
          <w:p w14:paraId="3A1713B3" w14:textId="77777777" w:rsidR="00EE1765" w:rsidRPr="001079F8" w:rsidRDefault="00EE1765" w:rsidP="00897F85">
            <w:pPr>
              <w:jc w:val="center"/>
              <w:rPr>
                <w:b/>
                <w:sz w:val="24"/>
                <w:szCs w:val="24"/>
              </w:rPr>
            </w:pPr>
            <w:r>
              <w:rPr>
                <w:bCs/>
                <w:sz w:val="24"/>
                <w:szCs w:val="24"/>
              </w:rPr>
              <w:t>…</w:t>
            </w:r>
            <w:r>
              <w:rPr>
                <w:b/>
                <w:bCs/>
                <w:sz w:val="24"/>
                <w:szCs w:val="24"/>
              </w:rPr>
              <w:br/>
            </w:r>
            <w:r>
              <w:rPr>
                <w:b/>
                <w:bCs/>
                <w:sz w:val="24"/>
                <w:szCs w:val="24"/>
              </w:rPr>
              <w:br/>
            </w:r>
          </w:p>
        </w:tc>
      </w:tr>
      <w:tr w:rsidR="00EE1765" w:rsidRPr="001079F8" w14:paraId="7521624C" w14:textId="77777777" w:rsidTr="00897F85">
        <w:trPr>
          <w:trHeight w:val="331"/>
        </w:trPr>
        <w:tc>
          <w:tcPr>
            <w:tcW w:w="2812" w:type="dxa"/>
          </w:tcPr>
          <w:p w14:paraId="2DA38490" w14:textId="77777777" w:rsidR="00EE1765" w:rsidRPr="001079F8" w:rsidRDefault="00EE1765" w:rsidP="00897F85">
            <w:pPr>
              <w:jc w:val="center"/>
              <w:rPr>
                <w:b/>
                <w:sz w:val="24"/>
                <w:szCs w:val="24"/>
              </w:rPr>
            </w:pPr>
            <w:r>
              <w:rPr>
                <w:sz w:val="24"/>
                <w:szCs w:val="24"/>
              </w:rPr>
              <w:t>…</w:t>
            </w:r>
          </w:p>
        </w:tc>
      </w:tr>
      <w:tr w:rsidR="00EE1765" w:rsidRPr="001079F8" w14:paraId="4D273C47" w14:textId="77777777" w:rsidTr="00897F85">
        <w:trPr>
          <w:trHeight w:val="486"/>
        </w:trPr>
        <w:tc>
          <w:tcPr>
            <w:tcW w:w="2812" w:type="dxa"/>
          </w:tcPr>
          <w:p w14:paraId="1CC50395" w14:textId="77777777" w:rsidR="00EE1765" w:rsidRPr="001079F8" w:rsidRDefault="00EE1765" w:rsidP="00897F85">
            <w:pPr>
              <w:jc w:val="center"/>
              <w:rPr>
                <w:b/>
                <w:sz w:val="24"/>
                <w:szCs w:val="24"/>
              </w:rPr>
            </w:pPr>
            <w:r w:rsidRPr="001079F8">
              <w:rPr>
                <w:b/>
                <w:sz w:val="24"/>
                <w:szCs w:val="24"/>
              </w:rPr>
              <w:t>Okul Müdürü</w:t>
            </w:r>
          </w:p>
        </w:tc>
      </w:tr>
    </w:tbl>
    <w:p w14:paraId="12AB4553" w14:textId="77777777" w:rsidR="005E558A" w:rsidRPr="001A68D5" w:rsidRDefault="005E558A" w:rsidP="005E558A">
      <w:pPr>
        <w:tabs>
          <w:tab w:val="left" w:pos="8647"/>
        </w:tabs>
        <w:spacing w:after="0" w:line="360" w:lineRule="auto"/>
        <w:jc w:val="center"/>
        <w:rPr>
          <w:rFonts w:ascii="Times New Roman" w:eastAsia="Times New Roman" w:hAnsi="Times New Roman" w:cs="Times New Roman"/>
          <w:b/>
          <w:kern w:val="0"/>
          <w:sz w:val="22"/>
          <w:szCs w:val="22"/>
          <w:lang w:eastAsia="tr-TR"/>
          <w14:ligatures w14:val="none"/>
        </w:rPr>
      </w:pPr>
      <w:r w:rsidRPr="001A68D5">
        <w:rPr>
          <w:rFonts w:ascii="Times New Roman" w:eastAsia="Times New Roman" w:hAnsi="Times New Roman" w:cs="Times New Roman"/>
          <w:kern w:val="0"/>
          <w:sz w:val="22"/>
          <w:szCs w:val="22"/>
          <w:lang w:eastAsia="tr-TR"/>
          <w14:ligatures w14:val="none"/>
        </w:rPr>
        <w:tab/>
      </w:r>
    </w:p>
    <w:p w14:paraId="4F8F2ABD" w14:textId="77777777" w:rsidR="005E558A" w:rsidRPr="001A68D5" w:rsidRDefault="005E558A" w:rsidP="005E558A">
      <w:pPr>
        <w:spacing w:after="0" w:line="240" w:lineRule="auto"/>
        <w:rPr>
          <w:rFonts w:ascii="Times New Roman" w:eastAsia="Times New Roman" w:hAnsi="Times New Roman" w:cs="Times New Roman"/>
          <w:kern w:val="0"/>
          <w:lang w:eastAsia="tr-TR"/>
          <w14:ligatures w14:val="none"/>
        </w:rPr>
      </w:pPr>
    </w:p>
    <w:p w14:paraId="4267673B" w14:textId="77777777" w:rsidR="00311366" w:rsidRPr="001A68D5" w:rsidRDefault="00311366">
      <w:pPr>
        <w:rPr>
          <w:rFonts w:ascii="Times New Roman" w:hAnsi="Times New Roman" w:cs="Times New Roman"/>
        </w:rPr>
      </w:pPr>
    </w:p>
    <w:p w14:paraId="13F022B8" w14:textId="77777777" w:rsidR="00E73FB4" w:rsidRPr="001A68D5" w:rsidRDefault="00E73FB4">
      <w:pPr>
        <w:rPr>
          <w:rFonts w:ascii="Times New Roman" w:hAnsi="Times New Roman" w:cs="Times New Roman"/>
        </w:rPr>
      </w:pPr>
    </w:p>
    <w:sectPr w:rsidR="00E73FB4" w:rsidRPr="001A68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5560C"/>
    <w:multiLevelType w:val="hybridMultilevel"/>
    <w:tmpl w:val="3A5060EC"/>
    <w:lvl w:ilvl="0" w:tplc="CC58DB16">
      <w:start w:val="1"/>
      <w:numFmt w:val="decimal"/>
      <w:lvlText w:val="%1-"/>
      <w:lvlJc w:val="left"/>
      <w:pPr>
        <w:tabs>
          <w:tab w:val="num" w:pos="360"/>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 w15:restartNumberingAfterBreak="0">
    <w:nsid w:val="21DF31AD"/>
    <w:multiLevelType w:val="hybridMultilevel"/>
    <w:tmpl w:val="3522AB80"/>
    <w:lvl w:ilvl="0" w:tplc="C4A23380">
      <w:start w:val="1"/>
      <w:numFmt w:val="decimal"/>
      <w:lvlText w:val="%1-"/>
      <w:lvlJc w:val="left"/>
      <w:pPr>
        <w:tabs>
          <w:tab w:val="num" w:pos="502"/>
        </w:tabs>
        <w:ind w:left="502"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26FA7EAE"/>
    <w:multiLevelType w:val="multilevel"/>
    <w:tmpl w:val="7E02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8221F1"/>
    <w:multiLevelType w:val="hybridMultilevel"/>
    <w:tmpl w:val="E71495B6"/>
    <w:lvl w:ilvl="0" w:tplc="041F000F">
      <w:start w:val="1"/>
      <w:numFmt w:val="decimal"/>
      <w:lvlText w:val="%1."/>
      <w:lvlJc w:val="left"/>
      <w:pPr>
        <w:tabs>
          <w:tab w:val="num" w:pos="720"/>
        </w:tabs>
        <w:ind w:left="720" w:hanging="360"/>
      </w:pPr>
    </w:lvl>
    <w:lvl w:ilvl="1" w:tplc="D2C2E5C2">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60E45906"/>
    <w:multiLevelType w:val="hybridMultilevel"/>
    <w:tmpl w:val="ED1041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13457959">
    <w:abstractNumId w:val="3"/>
  </w:num>
  <w:num w:numId="2" w16cid:durableId="1349143299">
    <w:abstractNumId w:val="2"/>
  </w:num>
  <w:num w:numId="3" w16cid:durableId="1350909321">
    <w:abstractNumId w:val="0"/>
  </w:num>
  <w:num w:numId="4" w16cid:durableId="1603149458">
    <w:abstractNumId w:val="1"/>
  </w:num>
  <w:num w:numId="5" w16cid:durableId="1097480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A"/>
    <w:rsid w:val="000114BB"/>
    <w:rsid w:val="00022C4C"/>
    <w:rsid w:val="000840ED"/>
    <w:rsid w:val="000967AC"/>
    <w:rsid w:val="000E29A2"/>
    <w:rsid w:val="00157EA7"/>
    <w:rsid w:val="001A68D5"/>
    <w:rsid w:val="002A5E15"/>
    <w:rsid w:val="003105B1"/>
    <w:rsid w:val="00311366"/>
    <w:rsid w:val="0035694E"/>
    <w:rsid w:val="00395275"/>
    <w:rsid w:val="003B1F3F"/>
    <w:rsid w:val="00410D88"/>
    <w:rsid w:val="00423A1F"/>
    <w:rsid w:val="004374E8"/>
    <w:rsid w:val="005E558A"/>
    <w:rsid w:val="00663A43"/>
    <w:rsid w:val="006B0B9D"/>
    <w:rsid w:val="006B4A00"/>
    <w:rsid w:val="007871B3"/>
    <w:rsid w:val="008C5ECA"/>
    <w:rsid w:val="008E4CEF"/>
    <w:rsid w:val="009A7990"/>
    <w:rsid w:val="009F53FB"/>
    <w:rsid w:val="009F68E8"/>
    <w:rsid w:val="00A26ECF"/>
    <w:rsid w:val="00A8205F"/>
    <w:rsid w:val="00A857FD"/>
    <w:rsid w:val="00A969A4"/>
    <w:rsid w:val="00AE3C6E"/>
    <w:rsid w:val="00AE51C0"/>
    <w:rsid w:val="00B00934"/>
    <w:rsid w:val="00B43BF5"/>
    <w:rsid w:val="00C019B4"/>
    <w:rsid w:val="00DA2574"/>
    <w:rsid w:val="00E0242E"/>
    <w:rsid w:val="00E73FB4"/>
    <w:rsid w:val="00EE1765"/>
    <w:rsid w:val="00F61890"/>
    <w:rsid w:val="00F7312D"/>
    <w:rsid w:val="00FE58F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96A7C"/>
  <w15:chartTrackingRefBased/>
  <w15:docId w15:val="{AB6418EA-9FA7-304F-AF69-780B27AC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E5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E5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E558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E558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E558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E558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E558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E558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E558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558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E558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E558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E558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E558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E558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558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558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558A"/>
    <w:rPr>
      <w:rFonts w:eastAsiaTheme="majorEastAsia" w:cstheme="majorBidi"/>
      <w:color w:val="272727" w:themeColor="text1" w:themeTint="D8"/>
    </w:rPr>
  </w:style>
  <w:style w:type="paragraph" w:styleId="KonuBal">
    <w:name w:val="Title"/>
    <w:basedOn w:val="Normal"/>
    <w:next w:val="Normal"/>
    <w:link w:val="KonuBalChar"/>
    <w:uiPriority w:val="10"/>
    <w:qFormat/>
    <w:rsid w:val="005E5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E558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558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E558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558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E558A"/>
    <w:rPr>
      <w:i/>
      <w:iCs/>
      <w:color w:val="404040" w:themeColor="text1" w:themeTint="BF"/>
    </w:rPr>
  </w:style>
  <w:style w:type="paragraph" w:styleId="ListeParagraf">
    <w:name w:val="List Paragraph"/>
    <w:basedOn w:val="Normal"/>
    <w:uiPriority w:val="34"/>
    <w:qFormat/>
    <w:rsid w:val="005E558A"/>
    <w:pPr>
      <w:ind w:left="720"/>
      <w:contextualSpacing/>
    </w:pPr>
  </w:style>
  <w:style w:type="character" w:styleId="GlVurgulama">
    <w:name w:val="Intense Emphasis"/>
    <w:basedOn w:val="VarsaylanParagrafYazTipi"/>
    <w:uiPriority w:val="21"/>
    <w:qFormat/>
    <w:rsid w:val="005E558A"/>
    <w:rPr>
      <w:i/>
      <w:iCs/>
      <w:color w:val="2F5496" w:themeColor="accent1" w:themeShade="BF"/>
    </w:rPr>
  </w:style>
  <w:style w:type="paragraph" w:styleId="GlAlnt">
    <w:name w:val="Intense Quote"/>
    <w:basedOn w:val="Normal"/>
    <w:next w:val="Normal"/>
    <w:link w:val="GlAlntChar"/>
    <w:uiPriority w:val="30"/>
    <w:qFormat/>
    <w:rsid w:val="005E5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E558A"/>
    <w:rPr>
      <w:i/>
      <w:iCs/>
      <w:color w:val="2F5496" w:themeColor="accent1" w:themeShade="BF"/>
    </w:rPr>
  </w:style>
  <w:style w:type="character" w:styleId="GlBavuru">
    <w:name w:val="Intense Reference"/>
    <w:basedOn w:val="VarsaylanParagrafYazTipi"/>
    <w:uiPriority w:val="32"/>
    <w:qFormat/>
    <w:rsid w:val="005E558A"/>
    <w:rPr>
      <w:b/>
      <w:bCs/>
      <w:smallCaps/>
      <w:color w:val="2F5496" w:themeColor="accent1" w:themeShade="BF"/>
      <w:spacing w:val="5"/>
    </w:rPr>
  </w:style>
  <w:style w:type="table" w:styleId="TabloKlavuzu">
    <w:name w:val="Table Grid"/>
    <w:basedOn w:val="NormalTablo"/>
    <w:rsid w:val="005E558A"/>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157EA7"/>
    <w:pPr>
      <w:spacing w:after="0" w:line="240" w:lineRule="auto"/>
    </w:pPr>
    <w:rPr>
      <w:rFonts w:ascii="Calibri" w:eastAsia="Times New Roman" w:hAnsi="Calibri" w:cs="Times New Roman"/>
      <w:kern w:val="0"/>
      <w:sz w:val="22"/>
      <w:szCs w:val="22"/>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3448</Words>
  <Characters>19660</Characters>
  <Application>Microsoft Office Word</Application>
  <DocSecurity>0</DocSecurity>
  <Lines>163</Lines>
  <Paragraphs>46</Paragraphs>
  <ScaleCrop>false</ScaleCrop>
  <HeadingPairs>
    <vt:vector size="2" baseType="variant">
      <vt:variant>
        <vt:lpstr>Konu Başlığı</vt:lpstr>
      </vt:variant>
      <vt:variant>
        <vt:i4>1</vt:i4>
      </vt:variant>
    </vt:vector>
  </HeadingPairs>
  <TitlesOfParts>
    <vt:vector size="1" baseType="lpstr">
      <vt:lpstr>sok11</vt:lpstr>
    </vt:vector>
  </TitlesOfParts>
  <Manager>okan gültekin</Manager>
  <Company>ingilizceciyiz.com</Company>
  <LinksUpToDate>false</LinksUpToDate>
  <CharactersWithSpaces>23062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şök</dc:title>
  <dc:subject>şube öğretmenler kurulu</dc:subject>
  <dc:creator>ingilizceciyiz.com</dc:creator>
  <cp:keywords>şök</cp:keywords>
  <dc:description>şök</dc:description>
  <cp:lastModifiedBy>okan gültekin</cp:lastModifiedBy>
  <cp:revision>1</cp:revision>
  <dcterms:created xsi:type="dcterms:W3CDTF">2026-10-12T20:49:00Z</dcterms:created>
  <dcterms:modified xsi:type="dcterms:W3CDTF">2026-10-12T21:02:00Z</dcterms:modified>
  <cp:category>şök</cp:category>
  <dc:identifier>2dc66599-c3d2-4cdf-99f1-ad3d210e565b</dc:identifier>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nKolayDocumentId">
    <vt:lpwstr>2dc66599-c3d2-4cdf-99f1-ad3d210e565b</vt:lpwstr>
  </property>
  <property fmtid="{D5CDD505-2E9C-101B-9397-08002B2CF9AE}" pid="3" name="PlanKolayRelativePath">
    <vt:lpwstr>toplanti/sok/donem2/sok11.docx</vt:lpwstr>
  </property>
  <property fmtid="{D5CDD505-2E9C-101B-9397-08002B2CF9AE}" pid="4" name="PlanKolayProduct">
    <vt:lpwstr>Plan Kolay</vt:lpwstr>
  </property>
  <property fmtid="{D5CDD505-2E9C-101B-9397-08002B2CF9AE}" pid="5" name="PlanKolayPublisher">
    <vt:lpwstr>Mihrasoft</vt:lpwstr>
  </property>
  <property fmtid="{D5CDD505-2E9C-101B-9397-08002B2CF9AE}" pid="6" name="PlanKolayDocumentVersion">
    <vt:lpwstr>1.0</vt:lpwstr>
  </property>
  <property fmtid="{D5CDD505-2E9C-101B-9397-08002B2CF9AE}" pid="7" name="PlanKolayStampedAtUtc">
    <vt:lpwstr>2026-08-16T13:37:15Z</vt:lpwstr>
  </property>
  <property fmtid="{D5CDD505-2E9C-101B-9397-08002B2CF9AE}" pid="8" name="PlanKolaySourcePolicy">
    <vt:lpwstr>legacy-content-migrated-unverified</vt:lpwstr>
  </property>
</Properties>
</file>