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E899C" w14:textId="77777777" w:rsidR="003349B4" w:rsidRDefault="003349B4" w:rsidP="003349B4">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2B3217CA" w14:textId="77777777" w:rsidR="003349B4" w:rsidRDefault="003349B4" w:rsidP="003349B4">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3BC76C5C" w14:textId="77777777" w:rsidR="003349B4" w:rsidRPr="005E558A" w:rsidRDefault="003349B4" w:rsidP="003349B4">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6C94E64D" w14:textId="77777777" w:rsidR="003349B4" w:rsidRPr="005E558A" w:rsidRDefault="003349B4" w:rsidP="003349B4">
      <w:pPr>
        <w:spacing w:after="0" w:line="240" w:lineRule="auto"/>
        <w:jc w:val="center"/>
        <w:rPr>
          <w:rFonts w:ascii="Times New Roman" w:eastAsia="Times New Roman" w:hAnsi="Times New Roman" w:cs="Times New Roman"/>
          <w:b/>
          <w:kern w:val="0"/>
          <w:lang w:eastAsia="tr-TR"/>
          <w14:ligatures w14:val="none"/>
        </w:rPr>
      </w:pPr>
    </w:p>
    <w:p w14:paraId="275412DB" w14:textId="77777777" w:rsidR="003349B4" w:rsidRPr="005E558A" w:rsidRDefault="003349B4" w:rsidP="003349B4">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5F643133" w14:textId="77777777" w:rsidR="003349B4" w:rsidRPr="00E318C1" w:rsidRDefault="003349B4" w:rsidP="003349B4">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21C062F9" w14:textId="77777777" w:rsidR="003349B4" w:rsidRPr="00E318C1" w:rsidRDefault="003349B4" w:rsidP="003349B4">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CA19E15" w14:textId="77777777" w:rsidR="003349B4" w:rsidRPr="00E318C1" w:rsidRDefault="003349B4" w:rsidP="003349B4">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78EE15D0" w14:textId="77777777" w:rsidR="005E558A" w:rsidRPr="006535AD"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60C7C113" w14:textId="77777777" w:rsidR="005E558A" w:rsidRPr="006535AD"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6535AD">
        <w:rPr>
          <w:rFonts w:ascii="Times New Roman" w:eastAsia="Times New Roman" w:hAnsi="Times New Roman" w:cs="Times New Roman"/>
          <w:b/>
          <w:kern w:val="0"/>
          <w:u w:val="single"/>
          <w:lang w:eastAsia="tr-TR"/>
          <w14:ligatures w14:val="none"/>
        </w:rPr>
        <w:t>GÜNDEM MADDELERİ</w:t>
      </w:r>
    </w:p>
    <w:p w14:paraId="6A46E11F" w14:textId="77777777" w:rsidR="005E558A" w:rsidRPr="006535AD" w:rsidRDefault="009F53FB">
      <w:pPr>
        <w:rPr>
          <w:rFonts w:ascii="Times New Roman" w:hAnsi="Times New Roman" w:cs="Times New Roman"/>
        </w:rPr>
      </w:pPr>
      <w:r w:rsidRPr="006535AD">
        <w:rPr>
          <w:rFonts w:ascii="Times New Roman" w:hAnsi="Times New Roman" w:cs="Times New Roman"/>
        </w:rPr>
        <w:t>1. Açılış ve yoklama.</w:t>
      </w:r>
      <w:r w:rsidRPr="006535AD">
        <w:rPr>
          <w:rFonts w:ascii="Times New Roman" w:hAnsi="Times New Roman" w:cs="Times New Roman"/>
        </w:rPr>
        <w:br/>
        <w:t>2. Bir önceki toplantıda alınan kararlar.</w:t>
      </w:r>
      <w:r w:rsidRPr="006535AD">
        <w:rPr>
          <w:rFonts w:ascii="Times New Roman" w:hAnsi="Times New Roman" w:cs="Times New Roman"/>
        </w:rPr>
        <w:br/>
        <w:t>3. Öğrencilerin başarı durumlarının incelenmesi ve başarıyı artırıcı önlemlerin alınması.</w:t>
      </w:r>
      <w:r w:rsidRPr="006535AD">
        <w:rPr>
          <w:rFonts w:ascii="Times New Roman" w:hAnsi="Times New Roman" w:cs="Times New Roman"/>
        </w:rPr>
        <w:br/>
        <w:t>4. Derslerin öğretim programlarıyla uyumlu olarak yürütülmesi.</w:t>
      </w:r>
      <w:r w:rsidRPr="006535AD">
        <w:rPr>
          <w:rFonts w:ascii="Times New Roman" w:hAnsi="Times New Roman" w:cs="Times New Roman"/>
        </w:rPr>
        <w:br/>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6535AD">
        <w:rPr>
          <w:rFonts w:ascii="Times New Roman" w:hAnsi="Times New Roman" w:cs="Times New Roman"/>
        </w:rPr>
        <w:br/>
        <w:t>6. Eğitim kaynaklarıyla atölye, laboratuvar ve diğer birimlerden güvenli bir şekilde yararlanma ve planlanma.</w:t>
      </w:r>
      <w:r w:rsidRPr="006535AD">
        <w:rPr>
          <w:rFonts w:ascii="Times New Roman" w:hAnsi="Times New Roman" w:cs="Times New Roman"/>
        </w:rPr>
        <w:br/>
        <w:t>7. Okul çevre işbirliği.</w:t>
      </w:r>
      <w:r w:rsidRPr="006535AD">
        <w:rPr>
          <w:rFonts w:ascii="Times New Roman" w:hAnsi="Times New Roman" w:cs="Times New Roman"/>
        </w:rPr>
        <w:br/>
        <w:t>8. Üretim etkinliklerinin eğitim ve öğretimi destekleyecek şekilde planlanması.</w:t>
      </w:r>
      <w:r w:rsidRPr="006535AD">
        <w:rPr>
          <w:rFonts w:ascii="Times New Roman" w:hAnsi="Times New Roman" w:cs="Times New Roman"/>
        </w:rPr>
        <w:br/>
        <w:t>9. Eğitim kurumu, ilçe, il, yurtiçi ve yurtdışında düzenlenecek bilimsel, sosyal, kültürel, sanatsal ve sportif etkinlikler ve yarışmalar ile geziler, öğrenci kulüp ve topluma hizmet çalışmaları.</w:t>
      </w:r>
      <w:r w:rsidRPr="006535AD">
        <w:rPr>
          <w:rFonts w:ascii="Times New Roman" w:hAnsi="Times New Roman" w:cs="Times New Roman"/>
        </w:rPr>
        <w:br/>
        <w:t>10. Mesleki ve teknik eğitim alanlarına devam edenlerin mesleğe, iş hayatına ve yükseköğrenime yönlendirilmesi.</w:t>
      </w:r>
      <w:r w:rsidRPr="006535AD">
        <w:rPr>
          <w:rFonts w:ascii="Times New Roman" w:hAnsi="Times New Roman" w:cs="Times New Roman"/>
        </w:rPr>
        <w:br/>
        <w:t>11. Öğrencilerde girişimcilik bilincinin kazandırılmasına yönelik çalışmalar.</w:t>
      </w:r>
      <w:r w:rsidRPr="006535AD">
        <w:rPr>
          <w:rFonts w:ascii="Times New Roman" w:hAnsi="Times New Roman" w:cs="Times New Roman"/>
        </w:rPr>
        <w:br/>
        <w:t>12. Öğrencilerin kişilik ve sosyal gelişimlerinin desteklenmesi, sağlıklarının korunması ve dengeli beslenmelerinin sağlanması.</w:t>
      </w:r>
      <w:r w:rsidRPr="006535AD">
        <w:rPr>
          <w:rFonts w:ascii="Times New Roman" w:hAnsi="Times New Roman" w:cs="Times New Roman"/>
        </w:rPr>
        <w:br/>
        <w:t>13. Okul sağlığı çalışmalarına yer verilmesi.</w:t>
      </w:r>
      <w:r w:rsidRPr="006535AD">
        <w:rPr>
          <w:rFonts w:ascii="Times New Roman" w:hAnsi="Times New Roman" w:cs="Times New Roman"/>
        </w:rPr>
        <w:br/>
        <w:t>14. Değerler eğitimi çalışmalarına yer verilmesi.</w:t>
      </w:r>
      <w:r w:rsidRPr="006535AD">
        <w:rPr>
          <w:rFonts w:ascii="Times New Roman" w:hAnsi="Times New Roman" w:cs="Times New Roman"/>
        </w:rPr>
        <w:br/>
        <w:t>15. İş sağlığı ve güvenliği tedbirleri doğrultusunda eğitim ve öğretim faaliyetlerinin planlanması.</w:t>
      </w:r>
      <w:r w:rsidRPr="006535AD">
        <w:rPr>
          <w:rFonts w:ascii="Times New Roman" w:hAnsi="Times New Roman" w:cs="Times New Roman"/>
        </w:rPr>
        <w:br/>
        <w:t>16. Eğitim ve öğretim yılı genelgesi kapsamındaki uygulamaların birinci dönem sonuçlarıyla değerlendirilmesi</w:t>
      </w:r>
      <w:r w:rsidRPr="006535AD">
        <w:rPr>
          <w:rFonts w:ascii="Times New Roman" w:hAnsi="Times New Roman" w:cs="Times New Roman"/>
        </w:rPr>
        <w:br/>
        <w:t>17. Birinci dönemde tespit edilen öğrenme eksiklerinin telafisi ve destekleme çalışmalarının planlanması</w:t>
      </w:r>
      <w:r w:rsidRPr="006535AD">
        <w:rPr>
          <w:rFonts w:ascii="Times New Roman" w:hAnsi="Times New Roman" w:cs="Times New Roman"/>
        </w:rPr>
        <w:br/>
        <w:t>18. Cep telefonu uygulamasının ve dijital esenlik çalışmalarının değerlendirilmesi</w:t>
      </w:r>
      <w:r w:rsidRPr="006535AD">
        <w:rPr>
          <w:rFonts w:ascii="Times New Roman" w:hAnsi="Times New Roman" w:cs="Times New Roman"/>
        </w:rPr>
        <w:br/>
        <w:t>19. Özel eğitim ihtiyacı olan öğrenciler için BEP ve destek eğitim odası uygulamalarının gözden geçirilmesi</w:t>
      </w:r>
      <w:r w:rsidRPr="006535AD">
        <w:rPr>
          <w:rFonts w:ascii="Times New Roman" w:hAnsi="Times New Roman" w:cs="Times New Roman"/>
        </w:rPr>
        <w:br/>
        <w:t>20. Dilek ve temenniler.</w:t>
      </w:r>
    </w:p>
    <w:p w14:paraId="335EE5B0" w14:textId="77777777" w:rsidR="009F53FB" w:rsidRPr="006535AD" w:rsidRDefault="005E558A" w:rsidP="009F53FB">
      <w:pPr>
        <w:spacing w:after="0" w:line="276" w:lineRule="auto"/>
        <w:rPr>
          <w:rFonts w:ascii="Times New Roman" w:eastAsia="Times New Roman" w:hAnsi="Times New Roman" w:cs="Times New Roman"/>
          <w:b/>
          <w:bCs/>
          <w:kern w:val="0"/>
          <w:lang w:eastAsia="tr-TR"/>
          <w14:ligatures w14:val="none"/>
        </w:rPr>
      </w:pPr>
      <w:r w:rsidRPr="006535AD">
        <w:rPr>
          <w:rFonts w:ascii="Times New Roman" w:eastAsia="Times New Roman" w:hAnsi="Times New Roman" w:cs="Times New Roman"/>
          <w:b/>
          <w:bCs/>
          <w:kern w:val="0"/>
          <w:lang w:eastAsia="tr-TR"/>
          <w14:ligatures w14:val="none"/>
        </w:rPr>
        <w:lastRenderedPageBreak/>
        <w:t>GÜNDEM MADDELERİNİN GÖRÜŞÜLMESİ</w:t>
      </w:r>
    </w:p>
    <w:p w14:paraId="5A9E695A" w14:textId="77777777" w:rsidR="00A857FD" w:rsidRPr="006535AD" w:rsidRDefault="009F53FB" w:rsidP="009F53FB">
      <w:pPr>
        <w:spacing w:after="0" w:line="276" w:lineRule="auto"/>
        <w:rPr>
          <w:rFonts w:ascii="Times New Roman" w:eastAsia="Times New Roman" w:hAnsi="Times New Roman" w:cs="Times New Roman"/>
          <w:b/>
          <w:bCs/>
          <w:kern w:val="0"/>
          <w:lang w:eastAsia="tr-TR"/>
          <w14:ligatures w14:val="none"/>
        </w:rPr>
      </w:pPr>
      <w:r w:rsidRPr="006535AD">
        <w:rPr>
          <w:rFonts w:ascii="Times New Roman" w:hAnsi="Times New Roman" w:cs="Times New Roman"/>
          <w:color w:val="000000"/>
        </w:rPr>
        <w:t>1. Açılış ve yoklama.</w:t>
      </w:r>
      <w:r w:rsidRPr="006535AD">
        <w:rPr>
          <w:rFonts w:ascii="Times New Roman" w:hAnsi="Times New Roman" w:cs="Times New Roman"/>
        </w:rPr>
        <w:br/>
        <w:t>Açılış ve yoklama maddesinde toplantı belirtilen tarih ve saatte öğretmenler odasında başlatılmıştır. Yoklama alınmış, toplantıya katılan öğretmenlerin hazır bulunduğu tespit edilmiştir. Toplantının amacı; .......... sınıf düzeyinde öğrencilerin akademik gelişimini izlemek, ikinci dönem sürecini planlamak ve alınacak önlemleri netleştirmek olarak ifade edilmiştir. Gündem maddeleri okunarak toplantı akışı kabul edilmiştir. Kararların uygulanabilir, izlenebilir ve dönem içinde kontrol edilebilir şekilde yazılmasının önemli olduğu vurgulanmıştır. Kurul başkanı .........., görüşmeler sonunda alınacak kararların sorumlu ve takip adımlarıyla birlikte kayıt altına alınmasına oy birliğiyle karar verildiğini belirtmiştir.</w:t>
      </w:r>
      <w:r w:rsidRPr="006535AD">
        <w:rPr>
          <w:rFonts w:ascii="Times New Roman" w:hAnsi="Times New Roman" w:cs="Times New Roman"/>
        </w:rPr>
        <w:br/>
      </w:r>
      <w:r w:rsidRPr="006535AD">
        <w:rPr>
          <w:rFonts w:ascii="Times New Roman" w:hAnsi="Times New Roman" w:cs="Times New Roman"/>
          <w:b/>
        </w:rPr>
        <w:br/>
        <w:t>2. Bir önceki toplantıda alınan kararlar.</w:t>
      </w:r>
      <w:r w:rsidRPr="006535AD">
        <w:rPr>
          <w:rFonts w:ascii="Times New Roman" w:hAnsi="Times New Roman" w:cs="Times New Roman"/>
        </w:rPr>
        <w:br/>
        <w:t>Bir önceki toplantıda alınan kararlar tek tek okunmuş ve gerçekleşme durumu değerlendirilmiştir. Devamsızlık takibi, ödev kontrolü ve ölçme sonrası geri bildirim gibi uygulamaların düzenli yürütüldüğü ve olumlu sonuç verdiği belirtilmiştir. Veli bilgilendirmesi sıklığı ve ortak ölçütlerle değerlendirme gibi uygulamaların ise dönem yoğunluğu nedeniyle istenen düzeye ulaşamadığı ifade edilmiştir. Kararların sürekliliği için görev paylaşımının netleştirilmesi gerektiği vurgulanmıştır. Eksik kalan uygulamalar için ikinci dönemde daha sistemli izleme yapılması uygun görülmüştür. Sınıf rehber öğretmeni .........., aylık kısa değerlendirme notu ile takip yapılmasının aksaklıkları hızlı gidereceğini ifade etmiştir.</w:t>
      </w:r>
      <w:r w:rsidRPr="006535AD">
        <w:rPr>
          <w:rFonts w:ascii="Times New Roman" w:hAnsi="Times New Roman" w:cs="Times New Roman"/>
        </w:rPr>
        <w:br/>
      </w:r>
      <w:r w:rsidRPr="006535AD">
        <w:rPr>
          <w:rFonts w:ascii="Times New Roman" w:hAnsi="Times New Roman" w:cs="Times New Roman"/>
          <w:b/>
        </w:rPr>
        <w:br/>
        <w:t>3. Öğrencilerin başarı durumlarının incelenmesi ve başarıyı artırıcı önlemlerin alınması.</w:t>
      </w:r>
      <w:r w:rsidRPr="006535AD">
        <w:rPr>
          <w:rFonts w:ascii="Times New Roman" w:hAnsi="Times New Roman" w:cs="Times New Roman"/>
        </w:rPr>
        <w:br/>
        <w:t>Öğrencilerin başarı durumları ders bazında değerlendirilmiş; yazılı, performans ve ders içi katılım verileri birlikte ele alınmıştır. .......... sınıf düzeyinde konu yoğunluğunun arttığı, bu nedenle düzenli tekrar ve planlı çalışmanın daha kritik hale geldiği vurgulanmıştır. Başarıyı düşüren nedenler arasında düzensiz çalışma, konu birikmesi, temel eksikler ve sınav stratejisi hataları üzerinde durulmuştur. Ölçme sonuçlarının yalnızca not olarak değil, kazanım eksiklerini gösteren bir geri bildirim aracı olarak değerlendirilmesi gerektiği belirtilmiştir. Başarısı düşük öğrenciler için hedef kazanımlara yönelik kısa telafi planları ve destek çalışmaları yapılması uygun görülmüştür. Sınıf içinde aktif öğrenme, soru çözümü ve kısa pekiştirme uygulamalarının artırılması gerektiği ifade edilmiştir. Öğrenci motivasyonunu yükseltmek için küçük hedefler, düzenli kontrol ve olumlu pekiştirme yöntemlerinin uygulanmasına karar verilmiştir. .......... haftalık mini taramalar ve konu bazlı kısa testler önermiştir. .......... okuma-anlama becerisinin tüm derslerde başarıyı etkilediğini belirtmiştir. .......... problem çözmede yöntem öğretiminin ve adım adım geri bildirimin önemini vurgulamıştır.</w:t>
      </w:r>
      <w:r w:rsidRPr="006535AD">
        <w:rPr>
          <w:rFonts w:ascii="Times New Roman" w:hAnsi="Times New Roman" w:cs="Times New Roman"/>
        </w:rPr>
        <w:br/>
      </w:r>
      <w:r w:rsidRPr="006535AD">
        <w:rPr>
          <w:rFonts w:ascii="Times New Roman" w:hAnsi="Times New Roman" w:cs="Times New Roman"/>
          <w:b/>
        </w:rPr>
        <w:br/>
        <w:t>4. Derslerin öğretim programlarıyla uyumlu olarak yürütülmesi.</w:t>
      </w:r>
      <w:r w:rsidRPr="006535AD">
        <w:rPr>
          <w:rFonts w:ascii="Times New Roman" w:hAnsi="Times New Roman" w:cs="Times New Roman"/>
        </w:rPr>
        <w:br/>
        <w:t xml:space="preserve">Derslerin öğretim programındaki kazanımlara uygun yürütülmesi gerektiği vurgulanmıştır. Yıllık ve ünitelendirilmiş planların zümre kararlarıyla uyumlu şekilde uygulanmasının ölçme-değerlendirmede bütünlük sağlayacağı belirtilmiştir. Kazanım odaklı ilerlemenin öğrencide kalıcı öğrenmeyi desteklediği ifade edilmiştir. Öğrencilerin hazırbulunuşluk düzeyine göre gerektiğinde pekiştirme ve geri dönütlerle öğretim sürecinin esnetilebileceği değerlendirilmiştir. Ders materyallerinin analiz, yorumlama, problem çözme ve iletişim </w:t>
      </w:r>
      <w:r w:rsidRPr="006535AD">
        <w:rPr>
          <w:rFonts w:ascii="Times New Roman" w:hAnsi="Times New Roman" w:cs="Times New Roman"/>
        </w:rPr>
        <w:lastRenderedPageBreak/>
        <w:t>becerilerine hizmet etmesi gerektiği belirtilmiştir. Ölçme araçlarının da kazanımlarla doğrudan ilişkilendirilmesi uygun görülmüştür. .......... konu işlenişi ile soru tarzlarının uyumunun artırılmasının başarıyı yükselteceğini ifade etmiştir. .......... kavramların kronolojik ve neden-sonuç ilişkisiyle verilmesinin önemini vurgulamıştır.</w:t>
      </w:r>
      <w:r w:rsidRPr="006535AD">
        <w:rPr>
          <w:rFonts w:ascii="Times New Roman" w:hAnsi="Times New Roman" w:cs="Times New Roman"/>
        </w:rPr>
        <w:br/>
      </w:r>
      <w:r w:rsidRPr="006535AD">
        <w:rPr>
          <w:rFonts w:ascii="Times New Roman" w:hAnsi="Times New Roman" w:cs="Times New Roman"/>
          <w:b/>
        </w:rPr>
        <w:br/>
        <w:t>5. Özel eğitim ihtiyacı olan/kaynaştırma/bütünleştirme yoluyla eğitimlerine devam eden öğrencilerin başarısının artırılması ve eğitim hizmetlerinden daha etkin yararlanmalarının sağlanması amacıyla alınacak tedbirler, yapılması gereken iş, işlem ve planlamalar.</w:t>
      </w:r>
      <w:r w:rsidRPr="006535AD">
        <w:rPr>
          <w:rFonts w:ascii="Times New Roman" w:hAnsi="Times New Roman" w:cs="Times New Roman"/>
        </w:rPr>
        <w:br/>
        <w:t>Özel eğitim ihtiyacı olan ve bütünleştirme yoluyla eğitimine devam eden öğrencilerin derslere erişiminin güçlendirilmesi görüşülmüştür. Bu öğrenciler için yönerge sadeleştirme, görsel destek, adım adım ilerleme ve örnek artırma gibi ders içi uyarlamaların gerekli olduğu belirtilmiştir. Ölçme-değerlendirme sürecinde süre ve ortam düzenlemesiyle uygun ölçme araçlarının tercih edilmesi gerektiği ifade edilmiştir. Ders içi katılımı artırmak için küçük hedefler, sık geri bildirim ve olumlu pekiştirme yaklaşımının uygulanmasına karar verilmiştir. Rehberlik servisiyle düzenli koordinasyon kurulması ve gelişimin kayıt altına alınması uygun görülmüştür. Gerektiğinde aile ile iş birliği içinde hareket edilmesi ve süreç bilgilendirmesi yapılması gerektiği vurgulanmıştır. .......... kavramsal konularda şema ve görsel destekle ilerlemenin öğrenmeyi kolaylaştırdığını belirtmiştir. .......... sosyal uyum ve kaygı boyutunun akademik süreci doğrudan etkilediğini ifade etmiştir.</w:t>
      </w:r>
      <w:r w:rsidRPr="006535AD">
        <w:rPr>
          <w:rFonts w:ascii="Times New Roman" w:hAnsi="Times New Roman" w:cs="Times New Roman"/>
        </w:rPr>
        <w:br/>
      </w:r>
      <w:r w:rsidRPr="006535AD">
        <w:rPr>
          <w:rFonts w:ascii="Times New Roman" w:hAnsi="Times New Roman" w:cs="Times New Roman"/>
          <w:b/>
        </w:rPr>
        <w:br/>
        <w:t>6. Eğitim kaynaklarıyla atölye, laboratuvar ve diğer birimlerden güvenli bir şekilde yararlanma ve planlanma.</w:t>
      </w:r>
      <w:r w:rsidRPr="006535AD">
        <w:rPr>
          <w:rFonts w:ascii="Times New Roman" w:hAnsi="Times New Roman" w:cs="Times New Roman"/>
        </w:rPr>
        <w:br/>
        <w:t>Okulun laboratuvar, bilişim sınıfı ve diğer birimlerinin güvenli kullanımı değerlendirilmiştir. Kullanımların planlı yapılması, ders dışı izinsiz girişlerin engellenmesi ve sorumlu öğretmen gözetiminin sağlanması gerektiği belirtilmiştir. Laboratuvar uygulamalarında güvenlik kurallarının her uygulama öncesinde hatırlatılması uygun görülmüştür. Malzeme ve ekipmanların kayıt altına alınması, kullanım sonrası kontrol edilmesi ve eksiklerin zamanında bildirilmesi gerektiği ifade edilmiştir. Koruyucu ekipman kullanımının özellikle deneylerde zorunlu tutulması gerektiği vurgulanmıştır. Acil durumlarda izlenecek yol ve iletişim zincirinin tüm öğretmenlerce bilinmesi gerektiği belirtilmiştir. .......... deneylerde düzen ve gözetimin kazaları önlediğini ifade etmiştir. .......... cihazların amaç dışı kullanımını engelleyecek sınıf kurallarının netleştirilmesini önermiştir.</w:t>
      </w:r>
      <w:r w:rsidRPr="006535AD">
        <w:rPr>
          <w:rFonts w:ascii="Times New Roman" w:hAnsi="Times New Roman" w:cs="Times New Roman"/>
        </w:rPr>
        <w:br/>
      </w:r>
      <w:r w:rsidRPr="006535AD">
        <w:rPr>
          <w:rFonts w:ascii="Times New Roman" w:hAnsi="Times New Roman" w:cs="Times New Roman"/>
          <w:b/>
        </w:rPr>
        <w:br/>
        <w:t>7. Okul çevre işbirliği.</w:t>
      </w:r>
      <w:r w:rsidRPr="006535AD">
        <w:rPr>
          <w:rFonts w:ascii="Times New Roman" w:hAnsi="Times New Roman" w:cs="Times New Roman"/>
        </w:rPr>
        <w:br/>
        <w:t xml:space="preserve">Okulun çevre kurumlarla yürüttüğü iş birliği çalışmaları değerlendirilmiştir. Yerel yönetimler, üniversiteler, kütüphaneler, gençlik spor ve sivil toplum kuruluşlarıyla yapılabilecek ortak etkinlikler ele alınmıştır. Bu iş birliklerinin öğrencilerin sosyal sorumluluk ve toplumsal farkındalık kazanmasına katkı sağladığı belirtilmiştir. Okul çevresinde güvenlik ve risk unsuru oluşturabilecek durumlar için bilgilendirme ve koordinasyonun sürdürülmesi gerektiği vurgulanmıştır. Kurum ziyaretleri ve seminerlerin öğrenci motivasyonunu artıracağı ifade edilmiştir. Çevredeki kültürel ve bilimsel kaynaklardan yararlanmanın ders içeriklerini zenginleştireceği belirtilmiştir. .......... saha gözlemi ve çevre incelemesi etkinliklerinin kazanımları güçlendirdiğini ifade etmiştir. .......... kültürel mekân gezilerinin derslerde </w:t>
      </w:r>
      <w:r w:rsidRPr="006535AD">
        <w:rPr>
          <w:rFonts w:ascii="Times New Roman" w:hAnsi="Times New Roman" w:cs="Times New Roman"/>
        </w:rPr>
        <w:lastRenderedPageBreak/>
        <w:t>kalıcılığı artıracağını belirtmiştir.</w:t>
      </w:r>
      <w:r w:rsidRPr="006535AD">
        <w:rPr>
          <w:rFonts w:ascii="Times New Roman" w:hAnsi="Times New Roman" w:cs="Times New Roman"/>
        </w:rPr>
        <w:br/>
      </w:r>
      <w:r w:rsidRPr="006535AD">
        <w:rPr>
          <w:rFonts w:ascii="Times New Roman" w:hAnsi="Times New Roman" w:cs="Times New Roman"/>
          <w:b/>
        </w:rPr>
        <w:br/>
        <w:t>8. Üretim etkinliklerinin eğitim ve öğretimi destekleyecek şekilde planlanması.</w:t>
      </w:r>
      <w:r w:rsidRPr="006535AD">
        <w:rPr>
          <w:rFonts w:ascii="Times New Roman" w:hAnsi="Times New Roman" w:cs="Times New Roman"/>
        </w:rPr>
        <w:br/>
        <w:t>Üretim etkinliklerinin öğrencinin öğrenmesini somutlaştırdığı ve kalıcı hale getirdiği ifade edilmiştir. Proje geliştirme, poster-sunum, okul yayını, sergi ve ürün dosyası gibi çalışmaların derslerle ilişkilendirilerek planlanabileceği belirtilmiştir. Üretim sürecinin öğrencide sorumluluk, ekip çalışması, problem çözme ve zaman yönetimi becerilerini geliştirdiği vurgulanmıştır. Etkinliklerin not odaklı değil süreç odaklı yürütülmesinin daha faydalı olacağı ifade edilmiştir. Öğrenci yükünü artırmadan küçük ama düzenli üretim görevleri verilmesinin daha verimli olacağı belirtilmiştir. Ürünlerin sergilenmesi ve sunulmasının öğrenci motivasyonunu artıracağı ifade edilmiştir. Ölçütlerin net belirlenmesi ve adil değerlendirme yapılması gerektiği vurgulanmıştır. .......... ürün temelli çalışmaların öğrencinin kendini ifade becerisini artırdığını belirtmiştir. .......... raporlama ve sunum becerisinin üretim etkinliklerinde belirleyici olduğunu ifade etmiştir.</w:t>
      </w:r>
      <w:r w:rsidRPr="006535AD">
        <w:rPr>
          <w:rFonts w:ascii="Times New Roman" w:hAnsi="Times New Roman" w:cs="Times New Roman"/>
        </w:rPr>
        <w:br/>
      </w:r>
      <w:r w:rsidRPr="006535AD">
        <w:rPr>
          <w:rFonts w:ascii="Times New Roman" w:hAnsi="Times New Roman" w:cs="Times New Roman"/>
          <w:b/>
        </w:rPr>
        <w:br/>
        <w:t>9. Eğitim kurumu, ilçe, il, yurtiçi ve yurtdışında düzenlenecek bilimsel, sosyal, kültürel, sanatsal ve sportif etkinlikler ve yarışmalar ile geziler, öğrenci kulüp ve topluma hizmet çalışmaları.</w:t>
      </w:r>
      <w:r w:rsidRPr="006535AD">
        <w:rPr>
          <w:rFonts w:ascii="Times New Roman" w:hAnsi="Times New Roman" w:cs="Times New Roman"/>
        </w:rPr>
        <w:br/>
        <w:t>İkinci dönem bilimsel, sosyal, kültürel, sanatsal ve sportif etkinliklerin sınıf düzeyinde planlanması görüşülmüştür. İlçe ve il düzeyindeki yarışmalara katılımın öğrencilerin özgüvenini artırdığı ve okul aidiyetini güçlendirdiği ifade edilmiştir. Kulüp çalışmalarının aylık planla yürütülmesi, görev dağılımının netleştirilmesi gerektiği vurgulanmıştır. Topluma hizmet çalışmalarının sorumluluk bilinci kazandırdığı ve sosyal gelişimi desteklediği belirtilmiştir. Gezilerin kazanımlarla ilişkilendirilerek planlanması, gezi öncesi hazırlık ve gezi sonrası değerlendirme etkinlikleriyle öğrenmenin pekiştirilmesi gerektiği ifade edilmiştir. Gezi ve etkinliklerde izin, güvenlik ve sorumluluk prosedürlerinin eksiksiz yürütülmesine karar verilmiştir. Etkinliklere katılımın öğrencinin akademik sorumluluklarını aksatmayacak şekilde dengelenmesi gerektiği belirtilmiştir. Başarı ve katılım gösteren öğrencilerin okul içinde uygun biçimde takdir edilmesinin motivasyonu artıracağı vurgulanmıştır. .......... sportif faaliyetlerin disiplin ve stres yönetimine katkı sağladığını belirtmiştir. .......... münazara, sunum ve yabancı dil etkinliklerinin iletişim becerilerini güçlendirdiğini ifade etmiştir.</w:t>
      </w:r>
      <w:r w:rsidRPr="006535AD">
        <w:rPr>
          <w:rFonts w:ascii="Times New Roman" w:hAnsi="Times New Roman" w:cs="Times New Roman"/>
        </w:rPr>
        <w:br/>
      </w:r>
      <w:r w:rsidRPr="006535AD">
        <w:rPr>
          <w:rFonts w:ascii="Times New Roman" w:hAnsi="Times New Roman" w:cs="Times New Roman"/>
          <w:b/>
        </w:rPr>
        <w:br/>
        <w:t>10. Mesleki ve teknik eğitim alanlarına devam edenlerin mesleğe, iş hayatına ve yükseköğrenime yönlendirilmesi.</w:t>
      </w:r>
      <w:r w:rsidRPr="006535AD">
        <w:rPr>
          <w:rFonts w:ascii="Times New Roman" w:hAnsi="Times New Roman" w:cs="Times New Roman"/>
        </w:rPr>
        <w:br/>
        <w:t xml:space="preserve">Öğrencilerin ilgi, yetenek ve akademik durumlarına göre mesleğe, iş hayatına ve yükseköğrenime yönlendirilmesi ele alınmıştır. .......... sınıf düzeyinde hedef belirleme sürecinin daha somut hale geldiği, bu nedenle öğrencilerin doğru bilgilendirilmesinin önemli olduğu belirtilmiştir. Mesleki ve teknik alanların tanıtılması, öğrencinin seçenekleri gerçekçi biçimde değerlendirmesine yardımcı olacağı için gerekli görülmüştür. Kariyer günleri, alan tanıtım seminerleri ve kurum ziyaretleri gibi etkinliklerin planlanabileceği ifade edilmiştir. Rehberlik servisiyle ilgi-yetenek çalışmaları yapılması ve sonuçların öğrenciyle bireysel görüşmelerde ele alınması uygun görülmüştür. Veli bilgilendirmesinin süreci destekleyeceği vurgulanmıştır. Yükseköğrenim ve meslek yolları konusunda öğrencilerin güvenilir kaynaklarla yönlendirilmesine karar verilmiştir. .......... yönlendirme çalışmalarının dönem </w:t>
      </w:r>
      <w:r w:rsidRPr="006535AD">
        <w:rPr>
          <w:rFonts w:ascii="Times New Roman" w:hAnsi="Times New Roman" w:cs="Times New Roman"/>
        </w:rPr>
        <w:lastRenderedPageBreak/>
        <w:t>boyunca planlı şekilde yürütüleceğini ifade etmiştir. .......... hedef belirlemenin ders motivasyonunu artırdığını belirtmiştir.</w:t>
      </w:r>
      <w:r w:rsidRPr="006535AD">
        <w:rPr>
          <w:rFonts w:ascii="Times New Roman" w:hAnsi="Times New Roman" w:cs="Times New Roman"/>
        </w:rPr>
        <w:br/>
      </w:r>
      <w:r w:rsidRPr="006535AD">
        <w:rPr>
          <w:rFonts w:ascii="Times New Roman" w:hAnsi="Times New Roman" w:cs="Times New Roman"/>
          <w:b/>
        </w:rPr>
        <w:br/>
        <w:t>11. Öğrencilerde girişimcilik bilincinin kazandırılmasına yönelik çalışmalar.</w:t>
      </w:r>
      <w:r w:rsidRPr="006535AD">
        <w:rPr>
          <w:rFonts w:ascii="Times New Roman" w:hAnsi="Times New Roman" w:cs="Times New Roman"/>
        </w:rPr>
        <w:br/>
        <w:t>Girişimcilik bilincinin öğrencinin üretkenlik ve problem çözme becerilerini geliştirdiği belirtilmiştir. Proje geliştirme, fikir üretme atölyeleri ve sunum günleri gibi çalışmaların uygulanabileceği ifade edilmiştir. Ekip çalışması içinde görev almanın sorumluluk ve iletişim becerilerini güçlendirdiği vurgulanmıştır. Okul içi proje pazarı veya sergi etkinliklerinin öğrenciyi motive edebileceği değerlendirilmiştir. Bu çalışmaların ders kazanımlarıyla ilişkilendirilmesinin öğrenmeyi destekleyeceği belirtilmiştir. Değerlendirmede süreç ve ürün yaklaşımının daha adil olacağı vurgulanmıştır. .......... çevre ve sürdürülebilirlik temalı projelerin girişimcilik bakışı kazandırabileceğini belirtmiştir. .......... raporlama ve sunum becerilerinin girişimcilik çalışmalarında kritik olduğunu ifade etmiştir.</w:t>
      </w:r>
      <w:r w:rsidRPr="006535AD">
        <w:rPr>
          <w:rFonts w:ascii="Times New Roman" w:hAnsi="Times New Roman" w:cs="Times New Roman"/>
        </w:rPr>
        <w:br/>
      </w:r>
      <w:r w:rsidRPr="006535AD">
        <w:rPr>
          <w:rFonts w:ascii="Times New Roman" w:hAnsi="Times New Roman" w:cs="Times New Roman"/>
          <w:b/>
        </w:rPr>
        <w:br/>
        <w:t>12. Öğrencilerin kişilik ve sosyal gelişimlerinin desteklenmesi, sağlıklarının korunması ve dengeli beslenmelerinin sağlanması.</w:t>
      </w:r>
      <w:r w:rsidRPr="006535AD">
        <w:rPr>
          <w:rFonts w:ascii="Times New Roman" w:hAnsi="Times New Roman" w:cs="Times New Roman"/>
        </w:rPr>
        <w:br/>
        <w:t>Öğrencilerin ergenlik dönemi özellikleri dikkate alınarak kişilik ve sosyal gelişimlerinin desteklenmesi gerektiği vurgulanmıştır. Akran ilişkileri, iletişim dili, empati ve sınır koyma becerilerinin geliştirilmesine yönelik sınıf rehberliği çalışmalarına yer verilmesi uygun görülmüştür. Sağlığın korunması açısından uyku düzeni, ekran süresi, hijyen ve fiziksel hareketin önemi ele alınmıştır. Dengeli beslenmenin dikkat, odaklanma ve akademik performans üzerindeki etkisi değerlendirilmiştir. Kantin alışkanlıkları ve sağlıklı beslenme konusunda öğrencilere bilgilendirme yapılmasının faydalı olacağı ifade edilmiştir. Stres yönetimi için nefes egzersizi, kısa ara etkinlikler ve düzenli hareketin desteklenmesi gerektiği belirtilmiştir. .......... özdenetim ve sorumluluk becerilerinin okul yaşamında pekiştirilmesi gerektiğini ifade etmiştir. .......... düzenli hareketin ruh hali ve motivasyonu güçlendirdiğini belirtmiştir. .......... sağlıklı yaşam alışkanlıklarının bu yaşta kalıcı hale gelmesinin önemli olduğunu vurgulamıştır.</w:t>
      </w:r>
      <w:r w:rsidRPr="006535AD">
        <w:rPr>
          <w:rFonts w:ascii="Times New Roman" w:hAnsi="Times New Roman" w:cs="Times New Roman"/>
        </w:rPr>
        <w:br/>
      </w:r>
      <w:r w:rsidRPr="006535AD">
        <w:rPr>
          <w:rFonts w:ascii="Times New Roman" w:hAnsi="Times New Roman" w:cs="Times New Roman"/>
          <w:b/>
        </w:rPr>
        <w:br/>
        <w:t>13. Okul sağlığı çalışmalarına yer verilmesi.</w:t>
      </w:r>
      <w:r w:rsidRPr="006535AD">
        <w:rPr>
          <w:rFonts w:ascii="Times New Roman" w:hAnsi="Times New Roman" w:cs="Times New Roman"/>
        </w:rPr>
        <w:br/>
        <w:t>Okul sağlığı çalışmaları kapsamında hijyen, bulaşıcı hastalıklardan korunma ve sağlıklı yaşam alışkanlıkları değerlendirilmiştir. Sınıf ve okul genelinde temizlik kurallarına uyulmasının önemine vurgu yapılmıştır. Riskli durumlarda hızlı bilgilendirme ve gerekli yönlendirmelerin zamanında uygulanması gerektiği belirtilmiştir. Acil durumlarda izlenecek yol, iletişim kanalları ve sorumluluklar hatırlatılmıştır. Sağlıkla ilgili öğrenci beyanlarının gizlilikle ele alınması gerektiği vurgulanmıştır. Okul revir/sağlık birimi süreçlerinin öğrencilere uygun şekilde tanıtılmasının faydalı olacağı ifade edilmiştir. .......... bağışıklık ve hijyen farkındalığının kısa bilgilendirmelerle desteklenmesini önermiştir. .......... temizlik malzemelerinin güvenli kullanımına dair uyarıların yapılması gerektiğini belirtmiştir.</w:t>
      </w:r>
      <w:r w:rsidRPr="006535AD">
        <w:rPr>
          <w:rFonts w:ascii="Times New Roman" w:hAnsi="Times New Roman" w:cs="Times New Roman"/>
        </w:rPr>
        <w:br/>
      </w:r>
      <w:r w:rsidRPr="006535AD">
        <w:rPr>
          <w:rFonts w:ascii="Times New Roman" w:hAnsi="Times New Roman" w:cs="Times New Roman"/>
          <w:b/>
        </w:rPr>
        <w:br/>
        <w:t>14. Değerler eğitimi çalışmalarına yer verilmesi.</w:t>
      </w:r>
      <w:r w:rsidRPr="006535AD">
        <w:rPr>
          <w:rFonts w:ascii="Times New Roman" w:hAnsi="Times New Roman" w:cs="Times New Roman"/>
        </w:rPr>
        <w:br/>
        <w:t xml:space="preserve">Değerler eğitiminin okul iklimini güçlendirdiği ve öğrencinin davranış gelişimine katkı sağladığı ifade edilmiştir. İkinci dönemde saygı, sorumluluk, dürüstlük, yardımseverlik ve hoşgörü temalarının ortak dil ile desteklenmesi gerektiği belirtilmiştir. Değerlerin yalnızca </w:t>
      </w:r>
      <w:r w:rsidRPr="006535AD">
        <w:rPr>
          <w:rFonts w:ascii="Times New Roman" w:hAnsi="Times New Roman" w:cs="Times New Roman"/>
        </w:rPr>
        <w:lastRenderedPageBreak/>
        <w:t>anlatımla değil, günlük uygulamalarla pekiştirilmesinin önemli olduğu vurgulanmıştır. Sınıf kurallarının değerlerle ilişkilendirilerek öğrenciye neden-sonuç bağlamında açıklanmasının faydalı olacağı ifade edilmiştir. Örnek olay incelemeleri, pano çalışmaları, kısa metin ve etkinliklerin uygulanabileceği belirtilmiştir. Tüm öğretmenlerin aynı tutum ve dili kullanmasının sınıf iklimini güçlendireceği vurgulanmıştır. .......... tarihî olay ve şahsiyetlerin değerleri somutlaştırmada etkili olduğunu belirtmiştir. .......... edebî metinlerin değer aktarımında güçlü bir araç olduğunu ifade etmiştir.</w:t>
      </w:r>
      <w:r w:rsidRPr="006535AD">
        <w:rPr>
          <w:rFonts w:ascii="Times New Roman" w:hAnsi="Times New Roman" w:cs="Times New Roman"/>
        </w:rPr>
        <w:br/>
      </w:r>
      <w:r w:rsidRPr="006535AD">
        <w:rPr>
          <w:rFonts w:ascii="Times New Roman" w:hAnsi="Times New Roman" w:cs="Times New Roman"/>
          <w:b/>
        </w:rPr>
        <w:br/>
        <w:t>15. İş sağlığı ve güvenliği tedbirleri doğrultusunda eğitim ve öğretim faaliyetlerinin planlanması.</w:t>
      </w:r>
      <w:r w:rsidRPr="006535AD">
        <w:rPr>
          <w:rFonts w:ascii="Times New Roman" w:hAnsi="Times New Roman" w:cs="Times New Roman"/>
        </w:rPr>
        <w:br/>
        <w:t>İş sağlığı ve güvenliği tedbirlerinin tüm eğitim faaliyetlerinde titizlikle uygulanması gerektiği belirtilmiştir. Laboratuvar, spor alanları, merdivenler ve ortak kullanım alanlarında güvenlik kurallarının öğrencilere sık sık hatırlatılması gerektiği vurgulanmıştır. Deprem-tahliye planı, yangın güvenliği ve acil çıkışların dönem içinde yeniden gözden geçirilmesi gerektiği ifade edilmiştir. Riskli davranışların önlenmesi için öğretmen gözetimi ve nöbet uygulamalarının dikkatle sürdürülmesine karar verilmiştir. Gezi ve etkinliklerde izin, güvenlik ve sorumluluk prosedürlerinin eksiksiz uygulanması gerektiği belirtilmiştir. Laboratuvarda malzeme kullanımının kontrol listesiyle yürütülmesinin güvenliği artıracağı ifade edilmiştir. Spor etkinliklerinde ısınma ve alan kontrolünün şart olduğu vurgulanmıştır. .......... deneylerde koruyucu ekipmanın zorunlu tutulmasını önermiştir. .......... sakatlanma riskini azaltmak için ısınmanın ihmal edilmemesi gerektiğini belirtmiştir.</w:t>
      </w:r>
      <w:r w:rsidRPr="006535AD">
        <w:rPr>
          <w:rFonts w:ascii="Times New Roman" w:hAnsi="Times New Roman" w:cs="Times New Roman"/>
          <w:color w:val="000000"/>
        </w:rPr>
        <w:br/>
        <w:t>16. Eğitim ve Öğretim Yılı Genelgesi Kapsamındaki Uygulamaların Değerlendirilmesi</w:t>
      </w:r>
      <w:r w:rsidRPr="006535AD">
        <w:rPr>
          <w:rFonts w:ascii="Times New Roman" w:hAnsi="Times New Roman" w:cs="Times New Roman"/>
        </w:rPr>
        <w:b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r w:rsidRPr="006535AD">
        <w:rPr>
          <w:rFonts w:ascii="Times New Roman" w:hAnsi="Times New Roman" w:cs="Times New Roman"/>
        </w:rPr>
        <w:br/>
      </w:r>
      <w:r w:rsidRPr="006535AD">
        <w:rPr>
          <w:rFonts w:ascii="Times New Roman" w:hAnsi="Times New Roman" w:cs="Times New Roman"/>
          <w:color w:val="000000"/>
        </w:rPr>
        <w:br/>
        <w:t>17. Öğrenme Eksiklerinin Telafisi ve Destekleme Çalışmaları</w:t>
      </w:r>
      <w:r w:rsidRPr="006535AD">
        <w:rPr>
          <w:rFonts w:ascii="Times New Roman" w:hAnsi="Times New Roman" w:cs="Times New Roman"/>
        </w:rPr>
        <w:b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r w:rsidRPr="006535AD">
        <w:rPr>
          <w:rFonts w:ascii="Times New Roman" w:hAnsi="Times New Roman" w:cs="Times New Roman"/>
        </w:rPr>
        <w:br/>
      </w:r>
      <w:r w:rsidRPr="006535AD">
        <w:rPr>
          <w:rFonts w:ascii="Times New Roman" w:hAnsi="Times New Roman" w:cs="Times New Roman"/>
          <w:color w:val="000000"/>
        </w:rPr>
        <w:br/>
        <w:t>18. Cep Telefonu Uygulaması ve Dijital Esenlik Çalışmalarının Değerlendirilmesi</w:t>
      </w:r>
      <w:r w:rsidRPr="006535AD">
        <w:rPr>
          <w:rFonts w:ascii="Times New Roman" w:hAnsi="Times New Roman" w:cs="Times New Roman"/>
        </w:rPr>
        <w:br/>
      </w:r>
      <w:r w:rsidRPr="006535AD">
        <w:rPr>
          <w:rFonts w:ascii="Times New Roman" w:hAnsi="Times New Roman" w:cs="Times New Roman"/>
        </w:rPr>
        <w:lastRenderedPageBreak/>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r w:rsidRPr="006535AD">
        <w:rPr>
          <w:rFonts w:ascii="Times New Roman" w:hAnsi="Times New Roman" w:cs="Times New Roman"/>
        </w:rPr>
        <w:br/>
      </w:r>
      <w:r w:rsidRPr="006535AD">
        <w:rPr>
          <w:rFonts w:ascii="Times New Roman" w:hAnsi="Times New Roman" w:cs="Times New Roman"/>
          <w:color w:val="000000"/>
        </w:rPr>
        <w:br/>
        <w:t>19. BEP ve Destek Eğitim Odası Uygulamalarının Gözden Geçirilmesi</w:t>
      </w:r>
      <w:r w:rsidRPr="006535AD">
        <w:rPr>
          <w:rFonts w:ascii="Times New Roman" w:hAnsi="Times New Roman" w:cs="Times New Roman"/>
        </w:rPr>
        <w:b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r w:rsidRPr="006535AD">
        <w:rPr>
          <w:rFonts w:ascii="Times New Roman" w:hAnsi="Times New Roman" w:cs="Times New Roman"/>
        </w:rPr>
        <w:br/>
      </w:r>
      <w:r w:rsidRPr="006535AD">
        <w:rPr>
          <w:rFonts w:ascii="Times New Roman" w:hAnsi="Times New Roman" w:cs="Times New Roman"/>
          <w:b/>
        </w:rPr>
        <w:br/>
        <w:t>20. Dilek ve temenniler.</w:t>
      </w:r>
      <w:r w:rsidRPr="006535AD">
        <w:rPr>
          <w:rFonts w:ascii="Times New Roman" w:hAnsi="Times New Roman" w:cs="Times New Roman"/>
          <w:color w:val="000000"/>
        </w:rPr>
        <w:br/>
        <w:t xml:space="preserve">Dilek ve temenniler bölümünde ikinci dönemin sağlıklı ve verimli geçmesi temenni edilmiştir. Öğrenci başarısının artırılması için öğretmenler arası iş birliği ve iletişimin güçlendirilmesi gerektiği vurgulanmıştır. Alınan kararların düzenli izlenmesi, uygulamada aksama olduğunda hızlı telafi yapılması gerektiği belirtilmiştir. Öğrencilerin motivasyonunun korunması ve rehberlik çalışmalarının sürdürülebilir olması gerektiği ifade edilmiştir. İhtiyaç duyulması halinde ara şube öğretmenler kurulu toplantısı yapılabileceği görüşü benimsenmiştir. Kurul başkanı .........., .......... eğitim öğretim yılının ikinci döneminin tüm öğretmen ve öğrencilere iyi geçmesi temennisiyle toplantıyı sonlandırmıştır. </w:t>
      </w:r>
    </w:p>
    <w:p w14:paraId="0A3C886D" w14:textId="77777777" w:rsidR="005E558A" w:rsidRPr="006535AD" w:rsidRDefault="005E558A">
      <w:pPr>
        <w:rPr>
          <w:rFonts w:ascii="Times New Roman" w:hAnsi="Times New Roman" w:cs="Times New Roman"/>
        </w:rPr>
      </w:pPr>
      <w:r w:rsidRPr="006535AD">
        <w:rPr>
          <w:rFonts w:ascii="Times New Roman" w:hAnsi="Times New Roman" w:cs="Times New Roman"/>
        </w:rPr>
        <w:br w:type="page"/>
      </w:r>
    </w:p>
    <w:p w14:paraId="4F4A7232" w14:textId="77777777" w:rsidR="005E558A" w:rsidRPr="006535AD" w:rsidRDefault="005E558A" w:rsidP="006535AD">
      <w:pPr>
        <w:spacing w:after="0" w:line="276" w:lineRule="auto"/>
        <w:rPr>
          <w:rFonts w:ascii="Times New Roman" w:eastAsia="Times New Roman" w:hAnsi="Times New Roman" w:cs="Times New Roman"/>
          <w:b/>
          <w:bCs/>
          <w:kern w:val="0"/>
          <w:lang w:eastAsia="tr-TR"/>
          <w14:ligatures w14:val="none"/>
        </w:rPr>
      </w:pPr>
      <w:r w:rsidRPr="006535AD">
        <w:rPr>
          <w:rFonts w:ascii="Times New Roman" w:eastAsia="Times New Roman" w:hAnsi="Times New Roman" w:cs="Times New Roman"/>
          <w:b/>
          <w:bCs/>
          <w:kern w:val="0"/>
          <w:lang w:eastAsia="tr-TR"/>
          <w14:ligatures w14:val="none"/>
        </w:rPr>
        <w:lastRenderedPageBreak/>
        <w:t>ALINAN KARARLAR</w:t>
      </w:r>
    </w:p>
    <w:p w14:paraId="760BD5A2" w14:textId="77777777" w:rsidR="005E558A" w:rsidRPr="006535AD" w:rsidRDefault="009F53FB" w:rsidP="006535AD">
      <w:pPr>
        <w:spacing w:after="0" w:line="276" w:lineRule="auto"/>
        <w:rPr>
          <w:rFonts w:ascii="Times New Roman" w:eastAsia="Times New Roman" w:hAnsi="Times New Roman" w:cs="Times New Roman"/>
          <w:kern w:val="0"/>
          <w:lang w:eastAsia="tr-TR"/>
          <w14:ligatures w14:val="none"/>
        </w:rPr>
      </w:pPr>
      <w:r w:rsidRPr="006535AD">
        <w:rPr>
          <w:rFonts w:ascii="Times New Roman" w:eastAsia="Times New Roman" w:hAnsi="Times New Roman" w:cs="Times New Roman"/>
          <w:kern w:val="0"/>
          <w:lang w:eastAsia="tr-TR"/>
          <w14:ligatures w14:val="none"/>
        </w:rPr>
        <w:t>1. Ders bazında başarı analizlerinin yapılmasına; kazanım eksikleri için kısa telafi planı uygulanmasına karar verildi.</w:t>
      </w:r>
      <w:r w:rsidRPr="006535AD">
        <w:rPr>
          <w:rFonts w:ascii="Times New Roman" w:eastAsia="Times New Roman" w:hAnsi="Times New Roman" w:cs="Times New Roman"/>
          <w:kern w:val="0"/>
          <w:lang w:eastAsia="tr-TR"/>
          <w14:ligatures w14:val="none"/>
        </w:rPr>
        <w:br/>
        <w:t>2. Haftalık çalışma planı hazırlanmasına; kısa tekrar, düzenli ödev takibi ve yanlış analizi uygulamalarının desteklenmesine karar verildi.</w:t>
      </w:r>
      <w:r w:rsidRPr="006535AD">
        <w:rPr>
          <w:rFonts w:ascii="Times New Roman" w:eastAsia="Times New Roman" w:hAnsi="Times New Roman" w:cs="Times New Roman"/>
          <w:kern w:val="0"/>
          <w:lang w:eastAsia="tr-TR"/>
          <w14:ligatures w14:val="none"/>
        </w:rPr>
        <w:br/>
        <w:t>3. Öğrencilerin Türkçeyi doğru ve etkili kullanmalarını desteklemek amacıyla okuma-anlama çalışmalarının artırılmasına ve düzenli kitap okuma konusunda teşvik edilmesine karar verildi.</w:t>
      </w:r>
      <w:r w:rsidRPr="006535AD">
        <w:rPr>
          <w:rFonts w:ascii="Times New Roman" w:eastAsia="Times New Roman" w:hAnsi="Times New Roman" w:cs="Times New Roman"/>
          <w:kern w:val="0"/>
          <w:lang w:eastAsia="tr-TR"/>
          <w14:ligatures w14:val="none"/>
        </w:rPr>
        <w:br/>
        <w:t>4. Derslerin öğretim programlarıyla uyumlu yürütülmesine; yıllık plan ve zümre kararlarına uygun ilerlenmesine karar verildi.</w:t>
      </w:r>
      <w:r w:rsidRPr="006535AD">
        <w:rPr>
          <w:rFonts w:ascii="Times New Roman" w:eastAsia="Times New Roman" w:hAnsi="Times New Roman" w:cs="Times New Roman"/>
          <w:kern w:val="0"/>
          <w:lang w:eastAsia="tr-TR"/>
          <w14:ligatures w14:val="none"/>
        </w:rPr>
        <w:br/>
        <w:t>5. Bütünleştirme yoluyla eğitimine devam eden öğrenciler için ders içi uyarlamalar yapılmasına; ölçme sürecinde uygun düzenlemelerin uygulanmasına karar verildi.</w:t>
      </w:r>
      <w:r w:rsidRPr="006535AD">
        <w:rPr>
          <w:rFonts w:ascii="Times New Roman" w:eastAsia="Times New Roman" w:hAnsi="Times New Roman" w:cs="Times New Roman"/>
          <w:kern w:val="0"/>
          <w:lang w:eastAsia="tr-TR"/>
          <w14:ligatures w14:val="none"/>
        </w:rPr>
        <w:br/>
        <w:t>6. Bu öğrenciler için rehberlik servisiyle koordinasyon kurulmasına, gelişimlerin düzenli izlenmesine ve gerektiğinde bireysel destek planı oluşturulmasına karar verildi.</w:t>
      </w:r>
      <w:r w:rsidRPr="006535AD">
        <w:rPr>
          <w:rFonts w:ascii="Times New Roman" w:eastAsia="Times New Roman" w:hAnsi="Times New Roman" w:cs="Times New Roman"/>
          <w:kern w:val="0"/>
          <w:lang w:eastAsia="tr-TR"/>
          <w14:ligatures w14:val="none"/>
        </w:rPr>
        <w:br/>
        <w:t>7. Laboratuvar, bilişim sınıfı ve diğer birimlerin güvenli kullanımına; sorumlu öğretmen gözetimiyle planlı yararlanılmasına karar verildi.</w:t>
      </w:r>
      <w:r w:rsidRPr="006535AD">
        <w:rPr>
          <w:rFonts w:ascii="Times New Roman" w:eastAsia="Times New Roman" w:hAnsi="Times New Roman" w:cs="Times New Roman"/>
          <w:kern w:val="0"/>
          <w:lang w:eastAsia="tr-TR"/>
          <w14:ligatures w14:val="none"/>
        </w:rPr>
        <w:br/>
        <w:t>8. Okul-çevre iş birliği kapsamında kurum/kuruluşlarla yapılabilecek etkinliklerin planlanmasına ve güvenlik boyutunun gözetilmesine karar verildi.</w:t>
      </w:r>
      <w:r w:rsidRPr="006535AD">
        <w:rPr>
          <w:rFonts w:ascii="Times New Roman" w:eastAsia="Times New Roman" w:hAnsi="Times New Roman" w:cs="Times New Roman"/>
          <w:kern w:val="0"/>
          <w:lang w:eastAsia="tr-TR"/>
          <w14:ligatures w14:val="none"/>
        </w:rPr>
        <w:br/>
        <w:t>9. Üretim etkinliklerinin (proje, sergi, okul yayını vb.) eğitim-öğretimi destekleyecek şekilde planlanmasına karar verildi.</w:t>
      </w:r>
      <w:r w:rsidRPr="006535AD">
        <w:rPr>
          <w:rFonts w:ascii="Times New Roman" w:eastAsia="Times New Roman" w:hAnsi="Times New Roman" w:cs="Times New Roman"/>
          <w:kern w:val="0"/>
          <w:lang w:eastAsia="tr-TR"/>
          <w14:ligatures w14:val="none"/>
        </w:rPr>
        <w:br/>
        <w:t>10. Bilimsel, sosyal, kültürel, sanatsal ve sportif etkinlikler ile kulüp/topluma hizmet çalışmalarının takvimlendirilmesine ve görev dağılımının netleştirilmesine karar verildi.</w:t>
      </w:r>
      <w:r w:rsidRPr="006535AD">
        <w:rPr>
          <w:rFonts w:ascii="Times New Roman" w:eastAsia="Times New Roman" w:hAnsi="Times New Roman" w:cs="Times New Roman"/>
          <w:kern w:val="0"/>
          <w:lang w:eastAsia="tr-TR"/>
          <w14:ligatures w14:val="none"/>
        </w:rPr>
        <w:br/>
        <w:t>11. Kariyer yönlendirme kapsamında meslek/alan tanıtım çalışmaları yapılmasına; ilgi-yetenek çalışmaları yürütülmesine karar verildi.</w:t>
      </w:r>
      <w:r w:rsidRPr="006535AD">
        <w:rPr>
          <w:rFonts w:ascii="Times New Roman" w:eastAsia="Times New Roman" w:hAnsi="Times New Roman" w:cs="Times New Roman"/>
          <w:kern w:val="0"/>
          <w:lang w:eastAsia="tr-TR"/>
          <w14:ligatures w14:val="none"/>
        </w:rPr>
        <w:br/>
        <w:t>12. Girişimcilik bilincini geliştirmek amacıyla proje geliştirme, sunum ve ekip çalışması odaklı etkinliklerin desteklenmesine karar verildi.</w:t>
      </w:r>
      <w:r w:rsidRPr="006535AD">
        <w:rPr>
          <w:rFonts w:ascii="Times New Roman" w:eastAsia="Times New Roman" w:hAnsi="Times New Roman" w:cs="Times New Roman"/>
          <w:kern w:val="0"/>
          <w:lang w:eastAsia="tr-TR"/>
          <w14:ligatures w14:val="none"/>
        </w:rPr>
        <w:br/>
        <w:t>13. Öğrencilerin kişilik ve sosyal gelişimlerinin desteklenmesine; sağlıklı yaşam, hijyen ve dengeli beslenme konularında bilgilendirme yapılmasına karar verildi.</w:t>
      </w:r>
      <w:r w:rsidRPr="006535AD">
        <w:rPr>
          <w:rFonts w:ascii="Times New Roman" w:eastAsia="Times New Roman" w:hAnsi="Times New Roman" w:cs="Times New Roman"/>
          <w:kern w:val="0"/>
          <w:lang w:eastAsia="tr-TR"/>
          <w14:ligatures w14:val="none"/>
        </w:rPr>
        <w:br/>
        <w:t>14. Okul sağlığı çalışmalarına (hijyen, korunma, acil durum bilgilendirmesi) düzenli olarak yer verilmesine karar verildi.</w:t>
      </w:r>
      <w:r w:rsidRPr="006535AD">
        <w:rPr>
          <w:rFonts w:ascii="Times New Roman" w:eastAsia="Times New Roman" w:hAnsi="Times New Roman" w:cs="Times New Roman"/>
          <w:kern w:val="0"/>
          <w:lang w:eastAsia="tr-TR"/>
          <w14:ligatures w14:val="none"/>
        </w:rPr>
        <w:br/>
        <w:t>15. Değerler eğitimi kapsamında saygı, sorumluluk, dürüstlük ve hoşgörü temalarının ders ve okul etkinliklerinde ortak dil ile pekiştirilmesine karar verildi.</w:t>
      </w:r>
      <w:r w:rsidRPr="006535AD">
        <w:rPr>
          <w:rFonts w:ascii="Times New Roman" w:eastAsia="Times New Roman" w:hAnsi="Times New Roman" w:cs="Times New Roman"/>
          <w:kern w:val="0"/>
          <w:lang w:eastAsia="tr-TR"/>
          <w14:ligatures w14:val="none"/>
        </w:rPr>
        <w:br/>
        <w:t>16. İş sağlığı ve güvenliği tedbirlerinin laboratuvar, spor alanları, gezi ve etkinliklerde eksiksiz uygulanmasına karar verildi.</w:t>
      </w:r>
      <w:r w:rsidRPr="006535AD">
        <w:rPr>
          <w:rFonts w:ascii="Times New Roman" w:eastAsia="Times New Roman" w:hAnsi="Times New Roman" w:cs="Times New Roman"/>
          <w:kern w:val="0"/>
          <w:lang w:eastAsia="tr-TR"/>
          <w14:ligatures w14:val="none"/>
        </w:rPr>
        <w:br/>
        <w:t>17. Eğitim ve öğretim yılı genelgesinde yer alan esasların ikinci dönemde de korunmasına; yılın “Maarifin Kalbinde Oyun” teması kapsamındaki oyun ve hareket etkinliklerinin sürdürülmesine karar verildi.</w:t>
      </w:r>
      <w:r w:rsidRPr="006535AD">
        <w:rPr>
          <w:rFonts w:ascii="Times New Roman" w:eastAsia="Times New Roman" w:hAnsi="Times New Roman" w:cs="Times New Roman"/>
          <w:kern w:val="0"/>
          <w:lang w:eastAsia="tr-TR"/>
          <w14:ligatures w14:val="none"/>
        </w:rPr>
        <w:br/>
        <w:t>18. Birinci dönemde tespit edilen öğrenme eksiklerinin ikinci dönemde ders içi telafi ve destekleme çalışmalarıyla giderilmesine; değerlendirmenin öğretmenlerce hazırlanan süreç odaklı ölçme araçlarıyla yapılmasına karar verildi.</w:t>
      </w:r>
      <w:r w:rsidRPr="006535AD">
        <w:rPr>
          <w:rFonts w:ascii="Times New Roman" w:eastAsia="Times New Roman" w:hAnsi="Times New Roman" w:cs="Times New Roman"/>
          <w:kern w:val="0"/>
          <w:lang w:eastAsia="tr-TR"/>
          <w14:ligatures w14:val="none"/>
        </w:rPr>
        <w:br/>
        <w:t>19. Cep telefonu uygulamasının ikinci dönemde de bütün derslerde aynı tutarlılıkla sürdürülmesine; dijital esenlik çalışmalarının rehberlik saatleriyle ilişkilendirilerek devam ettirilmesine karar verildi.</w:t>
      </w:r>
      <w:r w:rsidRPr="006535AD">
        <w:rPr>
          <w:rFonts w:ascii="Times New Roman" w:eastAsia="Times New Roman" w:hAnsi="Times New Roman" w:cs="Times New Roman"/>
          <w:kern w:val="0"/>
          <w:lang w:eastAsia="tr-TR"/>
          <w14:ligatures w14:val="none"/>
        </w:rPr>
        <w:br/>
        <w:t xml:space="preserve">20. Bireyselleştirilmiş eğitim programlarının ikinci dönem başında gözden geçirilerek güncellenmesine; destek eğitim odası çalışmalarının ders programıyla uyumlu planlanmasına </w:t>
      </w:r>
      <w:r w:rsidRPr="006535AD">
        <w:rPr>
          <w:rFonts w:ascii="Times New Roman" w:eastAsia="Times New Roman" w:hAnsi="Times New Roman" w:cs="Times New Roman"/>
          <w:kern w:val="0"/>
          <w:lang w:eastAsia="tr-TR"/>
          <w14:ligatures w14:val="none"/>
        </w:rPr>
        <w:lastRenderedPageBreak/>
        <w:t>ve velilerle düzenli bilgi paylaşımı yapılmasına karar verildi.</w:t>
      </w:r>
      <w:r w:rsidRPr="006535AD">
        <w:rPr>
          <w:rFonts w:ascii="Times New Roman" w:eastAsia="Times New Roman" w:hAnsi="Times New Roman" w:cs="Times New Roman"/>
          <w:kern w:val="0"/>
          <w:lang w:eastAsia="tr-TR"/>
          <w14:ligatures w14:val="none"/>
        </w:rPr>
        <w:br/>
        <w:t>21. Devamsızlık problemini en aza indirmek için devamsızlıkların düzenli takip edilmesine ve gerekli görülen durumlarda veli ile iletişime geçilmesine karar verildi.</w:t>
      </w:r>
    </w:p>
    <w:p w14:paraId="3F0F9027" w14:textId="77777777" w:rsidR="005E558A" w:rsidRPr="006535AD" w:rsidRDefault="005E558A" w:rsidP="005E558A">
      <w:pPr>
        <w:spacing w:after="0" w:line="240" w:lineRule="auto"/>
        <w:jc w:val="center"/>
        <w:rPr>
          <w:rFonts w:ascii="Times New Roman" w:eastAsia="Times New Roman" w:hAnsi="Times New Roman" w:cs="Times New Roman"/>
          <w:kern w:val="0"/>
          <w:lang w:eastAsia="tr-TR"/>
          <w14:ligatures w14:val="none"/>
        </w:rPr>
      </w:pPr>
    </w:p>
    <w:p w14:paraId="5319FC03" w14:textId="77777777" w:rsidR="005E558A" w:rsidRPr="006535AD" w:rsidRDefault="005E558A">
      <w:pPr>
        <w:rPr>
          <w:rFonts w:ascii="Times New Roman" w:hAnsi="Times New Roman" w:cs="Times New Roman"/>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EE1E33" w:rsidRPr="006535AD" w14:paraId="2550606B" w14:textId="77777777" w:rsidTr="00EE1E33">
        <w:trPr>
          <w:trHeight w:val="442"/>
        </w:trPr>
        <w:tc>
          <w:tcPr>
            <w:tcW w:w="2694" w:type="dxa"/>
          </w:tcPr>
          <w:p w14:paraId="26E5E2BF" w14:textId="77777777" w:rsidR="00EE1E33" w:rsidRPr="006535AD" w:rsidRDefault="00EE1E33"/>
        </w:tc>
        <w:tc>
          <w:tcPr>
            <w:tcW w:w="2268" w:type="dxa"/>
          </w:tcPr>
          <w:p w14:paraId="5C388331" w14:textId="77777777" w:rsidR="00EE1E33" w:rsidRPr="006535AD" w:rsidRDefault="00EE1E33"/>
        </w:tc>
        <w:tc>
          <w:tcPr>
            <w:tcW w:w="1843" w:type="dxa"/>
          </w:tcPr>
          <w:p w14:paraId="7F0DC56A" w14:textId="77777777" w:rsidR="00EE1E33" w:rsidRPr="006535AD" w:rsidRDefault="00EE1E33"/>
        </w:tc>
      </w:tr>
      <w:tr w:rsidR="00EE1E33" w:rsidRPr="006535AD" w14:paraId="49C07626" w14:textId="77777777" w:rsidTr="00EE1E33">
        <w:trPr>
          <w:trHeight w:val="418"/>
        </w:trPr>
        <w:tc>
          <w:tcPr>
            <w:tcW w:w="2694" w:type="dxa"/>
          </w:tcPr>
          <w:p w14:paraId="178FADF5" w14:textId="77777777" w:rsidR="00EE1E33" w:rsidRPr="006535AD" w:rsidRDefault="00EE1E33"/>
        </w:tc>
        <w:tc>
          <w:tcPr>
            <w:tcW w:w="2268" w:type="dxa"/>
          </w:tcPr>
          <w:p w14:paraId="7E11559C" w14:textId="77777777" w:rsidR="00EE1E33" w:rsidRPr="006535AD" w:rsidRDefault="00EE1E33"/>
        </w:tc>
        <w:tc>
          <w:tcPr>
            <w:tcW w:w="1843" w:type="dxa"/>
          </w:tcPr>
          <w:p w14:paraId="7A0E380E" w14:textId="77777777" w:rsidR="00EE1E33" w:rsidRPr="006535AD" w:rsidRDefault="00EE1E33"/>
        </w:tc>
      </w:tr>
    </w:tbl>
    <w:p w14:paraId="77815A48" w14:textId="77777777" w:rsidR="005E558A" w:rsidRPr="006535AD" w:rsidRDefault="005E558A">
      <w:pPr>
        <w:rPr>
          <w:rFonts w:ascii="Times New Roman" w:hAnsi="Times New Roman" w:cs="Times New Roman"/>
        </w:rPr>
      </w:pPr>
      <w:r w:rsidRPr="006535AD">
        <w:rPr>
          <w:rFonts w:ascii="Times New Roman" w:hAnsi="Times New Roman" w:cs="Times New Roman"/>
        </w:rPr>
        <w:br w:type="page"/>
      </w:r>
    </w:p>
    <w:p w14:paraId="38716B20" w14:textId="77777777" w:rsidR="005E558A" w:rsidRPr="006535AD" w:rsidRDefault="00AE51C0" w:rsidP="005E558A">
      <w:pPr>
        <w:spacing w:after="0" w:line="240" w:lineRule="auto"/>
        <w:jc w:val="center"/>
        <w:rPr>
          <w:rFonts w:ascii="Times New Roman" w:eastAsia="Times New Roman" w:hAnsi="Times New Roman" w:cs="Times New Roman"/>
          <w:b/>
          <w:bCs/>
          <w:kern w:val="0"/>
          <w:lang w:eastAsia="tr-TR"/>
          <w14:ligatures w14:val="none"/>
        </w:rPr>
      </w:pPr>
      <w:r w:rsidRPr="006535AD">
        <w:rPr>
          <w:rFonts w:ascii="Times New Roman" w:eastAsia="Times New Roman" w:hAnsi="Times New Roman" w:cs="Times New Roman"/>
          <w:b/>
          <w:bCs/>
          <w:kern w:val="0"/>
          <w:lang w:eastAsia="tr-TR"/>
          <w14:ligatures w14:val="none"/>
        </w:rPr>
        <w:lastRenderedPageBreak/>
        <w:t>İMZA SİRKÜSÜ</w:t>
      </w:r>
    </w:p>
    <w:p w14:paraId="722784E9" w14:textId="77777777" w:rsidR="00AE51C0" w:rsidRPr="006535AD" w:rsidRDefault="00AE51C0" w:rsidP="005E558A">
      <w:pPr>
        <w:spacing w:after="0" w:line="240" w:lineRule="auto"/>
        <w:jc w:val="center"/>
        <w:rPr>
          <w:rFonts w:ascii="Times New Roman" w:eastAsia="Times New Roman" w:hAnsi="Times New Roman" w:cs="Times New Roman"/>
          <w:b/>
          <w:bCs/>
          <w:kern w:val="0"/>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6535AD" w14:paraId="530B40EF" w14:textId="77777777" w:rsidTr="00AE51C0">
        <w:trPr>
          <w:trHeight w:val="414"/>
        </w:trPr>
        <w:tc>
          <w:tcPr>
            <w:tcW w:w="3828" w:type="dxa"/>
            <w:noWrap/>
            <w:vAlign w:val="center"/>
            <w:hideMark/>
          </w:tcPr>
          <w:p w14:paraId="7122DA20" w14:textId="77777777" w:rsidR="00663A43" w:rsidRPr="006535AD"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6535AD">
              <w:rPr>
                <w:rFonts w:ascii="Times New Roman" w:eastAsia="Times New Roman" w:hAnsi="Times New Roman" w:cs="Times New Roman"/>
                <w:b/>
                <w:color w:val="000000"/>
                <w:kern w:val="0"/>
                <w:sz w:val="22"/>
                <w:szCs w:val="22"/>
                <w:lang w:eastAsia="tr-TR"/>
                <w14:ligatures w14:val="none"/>
              </w:rPr>
              <w:t>DERSİ</w:t>
            </w:r>
          </w:p>
        </w:tc>
        <w:tc>
          <w:tcPr>
            <w:tcW w:w="4253" w:type="dxa"/>
            <w:noWrap/>
            <w:vAlign w:val="center"/>
            <w:hideMark/>
          </w:tcPr>
          <w:p w14:paraId="6116E4A6" w14:textId="77777777" w:rsidR="00663A43" w:rsidRPr="006535AD"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6535AD">
              <w:rPr>
                <w:rFonts w:ascii="Times New Roman" w:eastAsia="Times New Roman" w:hAnsi="Times New Roman" w:cs="Times New Roman"/>
                <w:b/>
                <w:color w:val="000000"/>
                <w:kern w:val="0"/>
                <w:sz w:val="22"/>
                <w:szCs w:val="22"/>
                <w:lang w:eastAsia="tr-TR"/>
                <w14:ligatures w14:val="none"/>
              </w:rPr>
              <w:t>ADI SOYADI</w:t>
            </w:r>
          </w:p>
        </w:tc>
        <w:tc>
          <w:tcPr>
            <w:tcW w:w="2693" w:type="dxa"/>
            <w:noWrap/>
            <w:vAlign w:val="center"/>
            <w:hideMark/>
          </w:tcPr>
          <w:p w14:paraId="464EAB37" w14:textId="77777777" w:rsidR="00663A43" w:rsidRPr="006535AD" w:rsidRDefault="00663A43" w:rsidP="005E558A">
            <w:pPr>
              <w:spacing w:after="0" w:line="240" w:lineRule="auto"/>
              <w:jc w:val="center"/>
              <w:rPr>
                <w:rFonts w:ascii="Times New Roman" w:eastAsia="Times New Roman" w:hAnsi="Times New Roman" w:cs="Times New Roman"/>
                <w:b/>
                <w:color w:val="000000"/>
                <w:kern w:val="0"/>
                <w:sz w:val="22"/>
                <w:szCs w:val="22"/>
                <w:lang w:eastAsia="tr-TR"/>
                <w14:ligatures w14:val="none"/>
              </w:rPr>
            </w:pPr>
            <w:r w:rsidRPr="006535AD">
              <w:rPr>
                <w:rFonts w:ascii="Times New Roman" w:eastAsia="Times New Roman" w:hAnsi="Times New Roman" w:cs="Times New Roman"/>
                <w:b/>
                <w:color w:val="000000"/>
                <w:kern w:val="0"/>
                <w:sz w:val="22"/>
                <w:szCs w:val="22"/>
                <w:lang w:eastAsia="tr-TR"/>
                <w14:ligatures w14:val="none"/>
              </w:rPr>
              <w:t>İMZA</w:t>
            </w:r>
          </w:p>
        </w:tc>
      </w:tr>
      <w:tr w:rsidR="00663A43" w:rsidRPr="006535AD" w14:paraId="619C2108" w14:textId="77777777" w:rsidTr="00EE1E33">
        <w:trPr>
          <w:trHeight w:val="581"/>
        </w:trPr>
        <w:tc>
          <w:tcPr>
            <w:tcW w:w="3828" w:type="dxa"/>
            <w:noWrap/>
            <w:vAlign w:val="center"/>
            <w:hideMark/>
          </w:tcPr>
          <w:p w14:paraId="71C6F680"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BEDEN EĞİTİMİ VE SPOR</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78EB78FE" w14:textId="423A58EE"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7C8DA912"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7E45C4C5" w14:textId="77777777" w:rsidTr="00EE1E33">
        <w:trPr>
          <w:trHeight w:val="568"/>
        </w:trPr>
        <w:tc>
          <w:tcPr>
            <w:tcW w:w="3828" w:type="dxa"/>
            <w:noWrap/>
            <w:vAlign w:val="center"/>
            <w:hideMark/>
          </w:tcPr>
          <w:p w14:paraId="3DAC15BC"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DİN</w:t>
            </w:r>
            <w:r w:rsidR="00AE51C0" w:rsidRPr="006535AD">
              <w:rPr>
                <w:rFonts w:ascii="Times New Roman" w:eastAsia="Times New Roman" w:hAnsi="Times New Roman" w:cs="Times New Roman"/>
                <w:color w:val="000000"/>
                <w:kern w:val="0"/>
                <w:sz w:val="20"/>
                <w:szCs w:val="20"/>
                <w:lang w:eastAsia="tr-TR"/>
                <w14:ligatures w14:val="none"/>
              </w:rPr>
              <w:t xml:space="preserve"> </w:t>
            </w:r>
            <w:r w:rsidRPr="006535AD">
              <w:rPr>
                <w:rFonts w:ascii="Times New Roman" w:eastAsia="Times New Roman" w:hAnsi="Times New Roman" w:cs="Times New Roman"/>
                <w:color w:val="000000"/>
                <w:kern w:val="0"/>
                <w:sz w:val="20"/>
                <w:szCs w:val="20"/>
                <w:lang w:eastAsia="tr-TR"/>
                <w14:ligatures w14:val="none"/>
              </w:rPr>
              <w:t>KÜLTÜRÜ VE AHLAK BİLGİSİ</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0DCAA15F" w14:textId="53726945"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19D6559"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4EA168A9" w14:textId="77777777" w:rsidTr="00EE1E33">
        <w:trPr>
          <w:trHeight w:val="327"/>
        </w:trPr>
        <w:tc>
          <w:tcPr>
            <w:tcW w:w="3828" w:type="dxa"/>
            <w:noWrap/>
            <w:vAlign w:val="center"/>
            <w:hideMark/>
          </w:tcPr>
          <w:p w14:paraId="559AB7AB"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F</w:t>
            </w:r>
            <w:r w:rsidR="006B4A00" w:rsidRPr="006535AD">
              <w:rPr>
                <w:rFonts w:ascii="Times New Roman" w:eastAsia="Times New Roman" w:hAnsi="Times New Roman" w:cs="Times New Roman"/>
                <w:color w:val="000000"/>
                <w:kern w:val="0"/>
                <w:sz w:val="20"/>
                <w:szCs w:val="20"/>
                <w:lang w:eastAsia="tr-TR"/>
                <w14:ligatures w14:val="none"/>
              </w:rPr>
              <w:t>İZİK</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B850FF0" w14:textId="673D5F7F"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2AC1247C"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53D30BDF" w14:textId="77777777" w:rsidTr="00EE1E33">
        <w:trPr>
          <w:trHeight w:val="403"/>
        </w:trPr>
        <w:tc>
          <w:tcPr>
            <w:tcW w:w="3828" w:type="dxa"/>
            <w:noWrap/>
            <w:vAlign w:val="center"/>
            <w:hideMark/>
          </w:tcPr>
          <w:p w14:paraId="2138FD67"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GÖRSEL SANATLAR</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25E2260" w14:textId="38856666"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10597B12"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56F66FF2" w14:textId="77777777" w:rsidTr="00EE1E33">
        <w:trPr>
          <w:trHeight w:val="416"/>
        </w:trPr>
        <w:tc>
          <w:tcPr>
            <w:tcW w:w="3828" w:type="dxa"/>
            <w:noWrap/>
            <w:vAlign w:val="center"/>
            <w:hideMark/>
          </w:tcPr>
          <w:p w14:paraId="627B5BE7"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MATEMATİK</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31818A5B" w14:textId="70B63A08"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51A58BF1"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6DA4D89A" w14:textId="77777777" w:rsidTr="00EE1E33">
        <w:trPr>
          <w:trHeight w:val="409"/>
        </w:trPr>
        <w:tc>
          <w:tcPr>
            <w:tcW w:w="3828" w:type="dxa"/>
            <w:noWrap/>
            <w:vAlign w:val="center"/>
            <w:hideMark/>
          </w:tcPr>
          <w:p w14:paraId="4731771F" w14:textId="77777777" w:rsidR="00663A43" w:rsidRPr="006535AD"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COĞRAFYA</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FB3C2CB" w14:textId="19DD431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E44BA1E"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287E66B4" w14:textId="77777777" w:rsidTr="00EE1E33">
        <w:trPr>
          <w:trHeight w:val="415"/>
        </w:trPr>
        <w:tc>
          <w:tcPr>
            <w:tcW w:w="3828" w:type="dxa"/>
            <w:noWrap/>
            <w:vAlign w:val="center"/>
            <w:hideMark/>
          </w:tcPr>
          <w:p w14:paraId="681685A0" w14:textId="77777777" w:rsidR="00663A43" w:rsidRPr="006535AD"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TÜRK DİLİ VE EDEBİYATI</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3114ABA" w14:textId="58637856"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096CA83A"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7FB5A236" w14:textId="77777777" w:rsidTr="00EE1E33">
        <w:trPr>
          <w:trHeight w:val="420"/>
        </w:trPr>
        <w:tc>
          <w:tcPr>
            <w:tcW w:w="3828" w:type="dxa"/>
            <w:noWrap/>
            <w:vAlign w:val="center"/>
            <w:hideMark/>
          </w:tcPr>
          <w:p w14:paraId="1436D29F" w14:textId="77777777" w:rsidR="00663A43" w:rsidRPr="006535AD"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FELSEFE</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163ADF54" w14:textId="7B0C50CF"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6B964A84"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4716BE34" w14:textId="77777777" w:rsidTr="00EE1E33">
        <w:trPr>
          <w:trHeight w:val="413"/>
        </w:trPr>
        <w:tc>
          <w:tcPr>
            <w:tcW w:w="3828" w:type="dxa"/>
            <w:noWrap/>
            <w:vAlign w:val="center"/>
            <w:hideMark/>
          </w:tcPr>
          <w:p w14:paraId="761CDFFC" w14:textId="77777777" w:rsidR="00663A43" w:rsidRPr="006535AD" w:rsidRDefault="00663A43"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YABANCI DİL</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CC9B5D1" w14:textId="2284FFAD"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7150E2B9"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67E1988D" w14:textId="77777777" w:rsidTr="00EE1E33">
        <w:trPr>
          <w:trHeight w:val="417"/>
        </w:trPr>
        <w:tc>
          <w:tcPr>
            <w:tcW w:w="3828" w:type="dxa"/>
            <w:noWrap/>
            <w:vAlign w:val="center"/>
            <w:hideMark/>
          </w:tcPr>
          <w:p w14:paraId="50C92317" w14:textId="77777777" w:rsidR="00663A43" w:rsidRPr="006535AD"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KİMYA</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4F540238" w14:textId="635147AB" w:rsidR="00663A43" w:rsidRPr="006535AD" w:rsidRDefault="00663A43" w:rsidP="005E558A">
            <w:pPr>
              <w:spacing w:after="0" w:line="240" w:lineRule="auto"/>
              <w:jc w:val="center"/>
              <w:rPr>
                <w:rFonts w:ascii="Times New Roman" w:eastAsia="Times New Roman" w:hAnsi="Times New Roman" w:cs="Times New Roman"/>
                <w:color w:val="000000"/>
                <w:kern w:val="0"/>
                <w:sz w:val="20"/>
                <w:szCs w:val="20"/>
                <w:lang w:eastAsia="tr-TR"/>
                <w14:ligatures w14:val="none"/>
              </w:rPr>
            </w:pPr>
          </w:p>
        </w:tc>
        <w:tc>
          <w:tcPr>
            <w:tcW w:w="2693" w:type="dxa"/>
            <w:noWrap/>
            <w:hideMark/>
          </w:tcPr>
          <w:p w14:paraId="64E60884"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663A43" w:rsidRPr="006535AD" w14:paraId="6E8C361E" w14:textId="77777777" w:rsidTr="00EE1E33">
        <w:trPr>
          <w:trHeight w:val="409"/>
        </w:trPr>
        <w:tc>
          <w:tcPr>
            <w:tcW w:w="3828" w:type="dxa"/>
            <w:noWrap/>
            <w:vAlign w:val="center"/>
            <w:hideMark/>
          </w:tcPr>
          <w:p w14:paraId="54A648F1" w14:textId="77777777" w:rsidR="00663A43" w:rsidRPr="006535AD" w:rsidRDefault="006B4A00"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BİYOLOJİ</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0A4918BA" w14:textId="40375153"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1463C83" w14:textId="77777777" w:rsidR="00663A43" w:rsidRPr="006535AD"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r w:rsidRPr="006535AD">
              <w:rPr>
                <w:rFonts w:ascii="Times New Roman" w:eastAsia="Times New Roman" w:hAnsi="Times New Roman" w:cs="Times New Roman"/>
                <w:color w:val="000000"/>
                <w:kern w:val="0"/>
                <w:sz w:val="22"/>
                <w:szCs w:val="22"/>
                <w:lang w:eastAsia="tr-TR"/>
                <w14:ligatures w14:val="none"/>
              </w:rPr>
              <w:t> </w:t>
            </w:r>
          </w:p>
        </w:tc>
      </w:tr>
      <w:tr w:rsidR="00AE3C6E" w:rsidRPr="006535AD" w14:paraId="397BF528" w14:textId="77777777" w:rsidTr="00AE51C0">
        <w:trPr>
          <w:trHeight w:val="409"/>
        </w:trPr>
        <w:tc>
          <w:tcPr>
            <w:tcW w:w="3828" w:type="dxa"/>
            <w:noWrap/>
            <w:vAlign w:val="center"/>
          </w:tcPr>
          <w:p w14:paraId="14051683" w14:textId="77777777" w:rsidR="00AE3C6E" w:rsidRPr="006535AD"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REHBERLİK</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23D4B93" w14:textId="2537ADB4"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248911C8" w14:textId="77777777"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6535AD" w14:paraId="7707E575" w14:textId="77777777" w:rsidTr="00AE51C0">
        <w:trPr>
          <w:trHeight w:val="498"/>
        </w:trPr>
        <w:tc>
          <w:tcPr>
            <w:tcW w:w="3828" w:type="dxa"/>
            <w:noWrap/>
            <w:vAlign w:val="center"/>
          </w:tcPr>
          <w:p w14:paraId="6378CEA7" w14:textId="77777777" w:rsidR="00AE3C6E" w:rsidRPr="006535AD"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BİLİŞİM TEKNOLOJİLERİ VE YAZILIM</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C9CD5AE" w14:textId="640F8FFB"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17BE351A" w14:textId="77777777"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r w:rsidR="00AE3C6E" w:rsidRPr="006535AD" w14:paraId="46ACBB32" w14:textId="77777777" w:rsidTr="00AE51C0">
        <w:trPr>
          <w:trHeight w:val="409"/>
        </w:trPr>
        <w:tc>
          <w:tcPr>
            <w:tcW w:w="3828" w:type="dxa"/>
            <w:noWrap/>
            <w:vAlign w:val="center"/>
          </w:tcPr>
          <w:p w14:paraId="04FAB07E" w14:textId="77777777" w:rsidR="00AE3C6E" w:rsidRPr="006535AD" w:rsidRDefault="00AE3C6E" w:rsidP="00AE51C0">
            <w:pPr>
              <w:spacing w:after="0" w:line="240" w:lineRule="auto"/>
              <w:rPr>
                <w:rFonts w:ascii="Times New Roman" w:eastAsia="Times New Roman" w:hAnsi="Times New Roman" w:cs="Times New Roman"/>
                <w:color w:val="000000"/>
                <w:kern w:val="0"/>
                <w:sz w:val="20"/>
                <w:szCs w:val="20"/>
                <w:lang w:eastAsia="tr-TR"/>
                <w14:ligatures w14:val="none"/>
              </w:rPr>
            </w:pPr>
            <w:r w:rsidRPr="006535AD">
              <w:rPr>
                <w:rFonts w:ascii="Times New Roman" w:eastAsia="Times New Roman" w:hAnsi="Times New Roman" w:cs="Times New Roman"/>
                <w:color w:val="000000"/>
                <w:kern w:val="0"/>
                <w:sz w:val="20"/>
                <w:szCs w:val="20"/>
                <w:lang w:eastAsia="tr-TR"/>
                <w14:ligatures w14:val="none"/>
              </w:rPr>
              <w:t>TARİH</w:t>
            </w:r>
            <w:r w:rsidR="00AE51C0" w:rsidRPr="006535AD">
              <w:rPr>
                <w:rFonts w:ascii="Times New Roman" w:eastAsia="Times New Roman" w:hAnsi="Times New Roman" w:cs="Times New Roman"/>
                <w:color w:val="000000"/>
                <w:kern w:val="0"/>
                <w:sz w:val="20"/>
                <w:szCs w:val="20"/>
                <w:lang w:eastAsia="tr-TR"/>
                <w14:ligatures w14:val="none"/>
              </w:rPr>
              <w:t xml:space="preserve"> ÖĞRETMENİ</w:t>
            </w:r>
          </w:p>
        </w:tc>
        <w:tc>
          <w:tcPr>
            <w:tcW w:w="4253" w:type="dxa"/>
            <w:noWrap/>
            <w:vAlign w:val="center"/>
          </w:tcPr>
          <w:p w14:paraId="20519656" w14:textId="441375DD"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tcPr>
          <w:p w14:paraId="75011C6F" w14:textId="77777777" w:rsidR="00AE3C6E" w:rsidRPr="006535AD" w:rsidRDefault="00AE3C6E"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r>
    </w:tbl>
    <w:p w14:paraId="6B964427" w14:textId="77777777" w:rsidR="005E558A" w:rsidRPr="006535AD" w:rsidRDefault="005E558A" w:rsidP="005E558A">
      <w:pPr>
        <w:spacing w:after="0" w:line="360" w:lineRule="auto"/>
        <w:rPr>
          <w:rFonts w:ascii="Times New Roman" w:eastAsia="Times New Roman" w:hAnsi="Times New Roman" w:cs="Times New Roman"/>
          <w:kern w:val="0"/>
          <w:lang w:eastAsia="tr-TR"/>
          <w14:ligatures w14:val="none"/>
        </w:rPr>
      </w:pP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r w:rsidRPr="006535AD">
        <w:rPr>
          <w:rFonts w:ascii="Times New Roman" w:eastAsia="Times New Roman" w:hAnsi="Times New Roman" w:cs="Times New Roman"/>
          <w:kern w:val="0"/>
          <w:lang w:eastAsia="tr-TR"/>
          <w14:ligatures w14:val="none"/>
        </w:rPr>
        <w:tab/>
      </w:r>
    </w:p>
    <w:p w14:paraId="19C1CD31" w14:textId="02B704A8" w:rsidR="005E558A" w:rsidRPr="006535AD" w:rsidRDefault="005E558A" w:rsidP="00EE1E33">
      <w:pPr>
        <w:spacing w:after="0" w:line="360" w:lineRule="auto"/>
        <w:rPr>
          <w:rFonts w:ascii="Times New Roman" w:eastAsia="Times New Roman" w:hAnsi="Times New Roman" w:cs="Times New Roman"/>
          <w:kern w:val="0"/>
          <w:lang w:eastAsia="tr-TR"/>
          <w14:ligatures w14:val="none"/>
        </w:rPr>
      </w:pPr>
      <w:r w:rsidRPr="006535AD">
        <w:rPr>
          <w:rFonts w:ascii="Times New Roman" w:eastAsia="Times New Roman" w:hAnsi="Times New Roman" w:cs="Times New Roman"/>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6E6651" w:rsidRPr="00E318C1" w14:paraId="5B98C8C0" w14:textId="77777777" w:rsidTr="00897F85">
        <w:trPr>
          <w:trHeight w:val="442"/>
        </w:trPr>
        <w:tc>
          <w:tcPr>
            <w:tcW w:w="11058" w:type="dxa"/>
          </w:tcPr>
          <w:p w14:paraId="5D6089F1" w14:textId="77777777" w:rsidR="006E6651" w:rsidRPr="00E318C1" w:rsidRDefault="006E6651" w:rsidP="00897F85">
            <w:pPr>
              <w:rPr>
                <w:sz w:val="24"/>
                <w:szCs w:val="24"/>
              </w:rPr>
            </w:pPr>
            <w:r>
              <w:rPr>
                <w:sz w:val="24"/>
                <w:szCs w:val="24"/>
              </w:rPr>
              <w:t>…</w:t>
            </w:r>
          </w:p>
        </w:tc>
      </w:tr>
      <w:tr w:rsidR="006E6651" w:rsidRPr="00E318C1" w14:paraId="19D48B5A" w14:textId="77777777" w:rsidTr="00897F85">
        <w:trPr>
          <w:trHeight w:val="418"/>
        </w:trPr>
        <w:tc>
          <w:tcPr>
            <w:tcW w:w="11058" w:type="dxa"/>
          </w:tcPr>
          <w:p w14:paraId="0F5A64AA" w14:textId="77777777" w:rsidR="006E6651" w:rsidRPr="00EC65C8" w:rsidRDefault="006E6651" w:rsidP="00897F85">
            <w:pPr>
              <w:rPr>
                <w:b/>
                <w:bCs/>
                <w:sz w:val="24"/>
                <w:szCs w:val="24"/>
              </w:rPr>
            </w:pPr>
            <w:r w:rsidRPr="00EC65C8">
              <w:rPr>
                <w:b/>
                <w:bCs/>
                <w:sz w:val="24"/>
                <w:szCs w:val="24"/>
              </w:rPr>
              <w:t xml:space="preserve">Sınıf Rehber Öğretmeni                                                            </w:t>
            </w:r>
          </w:p>
        </w:tc>
      </w:tr>
      <w:tr w:rsidR="006E6651" w:rsidRPr="00EC65C8" w14:paraId="3FFD2839" w14:textId="77777777" w:rsidTr="00897F85">
        <w:trPr>
          <w:trHeight w:val="418"/>
        </w:trPr>
        <w:tc>
          <w:tcPr>
            <w:tcW w:w="11058" w:type="dxa"/>
          </w:tcPr>
          <w:p w14:paraId="09F2BB03" w14:textId="77777777" w:rsidR="006E6651" w:rsidRPr="00EC65C8" w:rsidRDefault="006E6651" w:rsidP="00897F85">
            <w:pPr>
              <w:jc w:val="center"/>
            </w:pPr>
            <w:r>
              <w:rPr>
                <w:sz w:val="24"/>
                <w:szCs w:val="24"/>
              </w:rPr>
              <w:t xml:space="preserve">                                                                                                                     …</w:t>
            </w:r>
          </w:p>
        </w:tc>
      </w:tr>
    </w:tbl>
    <w:p w14:paraId="6DFCED25" w14:textId="77777777" w:rsidR="006E6651" w:rsidRPr="00EC65C8" w:rsidRDefault="006E6651" w:rsidP="006E6651">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1B228780" w14:textId="77777777" w:rsidR="006E6651" w:rsidRPr="001079F8" w:rsidRDefault="006E6651" w:rsidP="006E6651">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6E6651" w:rsidRPr="001079F8" w14:paraId="36B77BB3" w14:textId="77777777" w:rsidTr="00897F85">
        <w:trPr>
          <w:trHeight w:val="331"/>
        </w:trPr>
        <w:tc>
          <w:tcPr>
            <w:tcW w:w="2812" w:type="dxa"/>
          </w:tcPr>
          <w:p w14:paraId="16B4F213" w14:textId="77777777" w:rsidR="006E6651" w:rsidRPr="001079F8" w:rsidRDefault="006E6651" w:rsidP="00897F85">
            <w:pPr>
              <w:jc w:val="center"/>
              <w:rPr>
                <w:b/>
                <w:sz w:val="24"/>
                <w:szCs w:val="24"/>
              </w:rPr>
            </w:pPr>
            <w:r w:rsidRPr="001079F8">
              <w:rPr>
                <w:b/>
                <w:sz w:val="24"/>
                <w:szCs w:val="24"/>
              </w:rPr>
              <w:t>UYGUNDUR</w:t>
            </w:r>
          </w:p>
        </w:tc>
      </w:tr>
      <w:tr w:rsidR="006E6651" w:rsidRPr="001079F8" w14:paraId="0B2C7A46" w14:textId="77777777" w:rsidTr="00897F85">
        <w:trPr>
          <w:trHeight w:val="320"/>
        </w:trPr>
        <w:tc>
          <w:tcPr>
            <w:tcW w:w="2812" w:type="dxa"/>
          </w:tcPr>
          <w:p w14:paraId="38114FBB" w14:textId="77777777" w:rsidR="006E6651" w:rsidRPr="001079F8" w:rsidRDefault="006E6651" w:rsidP="00897F85">
            <w:pPr>
              <w:jc w:val="center"/>
              <w:rPr>
                <w:b/>
                <w:sz w:val="24"/>
                <w:szCs w:val="24"/>
              </w:rPr>
            </w:pPr>
            <w:r>
              <w:rPr>
                <w:bCs/>
                <w:sz w:val="24"/>
                <w:szCs w:val="24"/>
              </w:rPr>
              <w:t>…</w:t>
            </w:r>
            <w:r>
              <w:rPr>
                <w:b/>
                <w:bCs/>
                <w:sz w:val="24"/>
                <w:szCs w:val="24"/>
              </w:rPr>
              <w:br/>
            </w:r>
            <w:r>
              <w:rPr>
                <w:b/>
                <w:bCs/>
                <w:sz w:val="24"/>
                <w:szCs w:val="24"/>
              </w:rPr>
              <w:br/>
            </w:r>
          </w:p>
        </w:tc>
      </w:tr>
      <w:tr w:rsidR="006E6651" w:rsidRPr="001079F8" w14:paraId="07F8B617" w14:textId="77777777" w:rsidTr="00897F85">
        <w:trPr>
          <w:trHeight w:val="331"/>
        </w:trPr>
        <w:tc>
          <w:tcPr>
            <w:tcW w:w="2812" w:type="dxa"/>
          </w:tcPr>
          <w:p w14:paraId="445B91E4" w14:textId="77777777" w:rsidR="006E6651" w:rsidRPr="001079F8" w:rsidRDefault="006E6651" w:rsidP="00897F85">
            <w:pPr>
              <w:jc w:val="center"/>
              <w:rPr>
                <w:b/>
                <w:sz w:val="24"/>
                <w:szCs w:val="24"/>
              </w:rPr>
            </w:pPr>
            <w:r>
              <w:rPr>
                <w:sz w:val="24"/>
                <w:szCs w:val="24"/>
              </w:rPr>
              <w:t>…</w:t>
            </w:r>
          </w:p>
        </w:tc>
      </w:tr>
      <w:tr w:rsidR="006E6651" w:rsidRPr="001079F8" w14:paraId="0312B2B0" w14:textId="77777777" w:rsidTr="00897F85">
        <w:trPr>
          <w:trHeight w:val="486"/>
        </w:trPr>
        <w:tc>
          <w:tcPr>
            <w:tcW w:w="2812" w:type="dxa"/>
          </w:tcPr>
          <w:p w14:paraId="6B6E5729" w14:textId="77777777" w:rsidR="006E6651" w:rsidRPr="001079F8" w:rsidRDefault="006E6651" w:rsidP="00897F85">
            <w:pPr>
              <w:jc w:val="center"/>
              <w:rPr>
                <w:b/>
                <w:sz w:val="24"/>
                <w:szCs w:val="24"/>
              </w:rPr>
            </w:pPr>
            <w:r w:rsidRPr="001079F8">
              <w:rPr>
                <w:b/>
                <w:sz w:val="24"/>
                <w:szCs w:val="24"/>
              </w:rPr>
              <w:t>Okul Müdürü</w:t>
            </w:r>
          </w:p>
        </w:tc>
      </w:tr>
    </w:tbl>
    <w:p w14:paraId="2E8F666B" w14:textId="77777777" w:rsidR="00E73FB4" w:rsidRPr="006535AD" w:rsidRDefault="00E73FB4">
      <w:pPr>
        <w:rPr>
          <w:rFonts w:ascii="Times New Roman" w:hAnsi="Times New Roman" w:cs="Times New Roman"/>
        </w:rPr>
      </w:pPr>
    </w:p>
    <w:sectPr w:rsidR="00E73FB4" w:rsidRPr="006535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840ED"/>
    <w:rsid w:val="000967AC"/>
    <w:rsid w:val="000E29A2"/>
    <w:rsid w:val="00157EA7"/>
    <w:rsid w:val="003105B1"/>
    <w:rsid w:val="00311366"/>
    <w:rsid w:val="003349B4"/>
    <w:rsid w:val="0034074E"/>
    <w:rsid w:val="0035694E"/>
    <w:rsid w:val="00395275"/>
    <w:rsid w:val="003B1F3F"/>
    <w:rsid w:val="00410D88"/>
    <w:rsid w:val="00423A1F"/>
    <w:rsid w:val="004374E8"/>
    <w:rsid w:val="005E558A"/>
    <w:rsid w:val="006535AD"/>
    <w:rsid w:val="00663A43"/>
    <w:rsid w:val="006B4A00"/>
    <w:rsid w:val="006E6651"/>
    <w:rsid w:val="00707A2F"/>
    <w:rsid w:val="008C5ECA"/>
    <w:rsid w:val="008E4CEF"/>
    <w:rsid w:val="009A7990"/>
    <w:rsid w:val="009F53FB"/>
    <w:rsid w:val="009F68E8"/>
    <w:rsid w:val="00A8205F"/>
    <w:rsid w:val="00A857FD"/>
    <w:rsid w:val="00A969A4"/>
    <w:rsid w:val="00AE3C6E"/>
    <w:rsid w:val="00AE51C0"/>
    <w:rsid w:val="00B00934"/>
    <w:rsid w:val="00B43BF5"/>
    <w:rsid w:val="00C019B4"/>
    <w:rsid w:val="00CF31E9"/>
    <w:rsid w:val="00DA2574"/>
    <w:rsid w:val="00E0242E"/>
    <w:rsid w:val="00E73FB4"/>
    <w:rsid w:val="00EE1E33"/>
    <w:rsid w:val="00F41A94"/>
    <w:rsid w:val="00F61890"/>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5DAAA"/>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3804</Words>
  <Characters>21687</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sok10</vt:lpstr>
    </vt:vector>
  </TitlesOfParts>
  <Manager>okan gültekin</Manager>
  <Company>ingilizceciyiz.com</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2026-10-12T20:49:00Z</dcterms:created>
  <dcterms:modified xsi:type="dcterms:W3CDTF">2026-10-12T21:01:00Z</dcterms:modified>
  <cp:category>şök</cp:category>
  <dc:identifier>30c5ac7e-2347-43c2-a3b2-1274ff3e576f</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30c5ac7e-2347-43c2-a3b2-1274ff3e576f</vt:lpwstr>
  </property>
  <property fmtid="{D5CDD505-2E9C-101B-9397-08002B2CF9AE}" pid="3" name="PlanKolayRelativePath">
    <vt:lpwstr>toplanti/sok/donem2/sok10.docx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